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667B6" w14:textId="77777777" w:rsidR="00D60783" w:rsidRPr="007D2D83" w:rsidRDefault="00A65507">
      <w:pPr>
        <w:rPr>
          <w:rFonts w:ascii="Arial" w:hAnsi="Arial" w:cs="Arial"/>
          <w:sz w:val="24"/>
          <w:szCs w:val="24"/>
        </w:rPr>
      </w:pPr>
      <w:r w:rsidRPr="007D2D83">
        <w:rPr>
          <w:rFonts w:ascii="Arial" w:hAnsi="Arial" w:cs="Arial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A2B9696" wp14:editId="72FD3EA0">
            <wp:simplePos x="0" y="0"/>
            <wp:positionH relativeFrom="column">
              <wp:posOffset>-1143000</wp:posOffset>
            </wp:positionH>
            <wp:positionV relativeFrom="paragraph">
              <wp:posOffset>-933450</wp:posOffset>
            </wp:positionV>
            <wp:extent cx="7658735" cy="1066800"/>
            <wp:effectExtent l="0" t="0" r="0" b="0"/>
            <wp:wrapNone/>
            <wp:docPr id="2" name="Picture 2" descr="LETTERHEAD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-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873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83C9D8" w14:textId="77777777" w:rsidR="005130AD" w:rsidRPr="00673F62" w:rsidRDefault="005130AD" w:rsidP="00D60783">
      <w:pPr>
        <w:jc w:val="right"/>
        <w:rPr>
          <w:rFonts w:ascii="Arial" w:hAnsi="Arial" w:cs="Arial"/>
          <w:sz w:val="24"/>
          <w:szCs w:val="24"/>
        </w:rPr>
      </w:pPr>
    </w:p>
    <w:p w14:paraId="25EFD747" w14:textId="6C83343B" w:rsidR="00D60783" w:rsidRPr="007A5BA3" w:rsidRDefault="00670151" w:rsidP="00D607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317DB7" w:rsidRPr="00673F62">
        <w:rPr>
          <w:rFonts w:ascii="Arial" w:hAnsi="Arial" w:cs="Arial"/>
          <w:sz w:val="24"/>
          <w:szCs w:val="24"/>
        </w:rPr>
        <w:t xml:space="preserve"> </w:t>
      </w:r>
      <w:r w:rsidR="00EA5B51">
        <w:rPr>
          <w:rFonts w:ascii="Arial" w:hAnsi="Arial" w:cs="Arial"/>
          <w:sz w:val="24"/>
          <w:szCs w:val="24"/>
        </w:rPr>
        <w:t xml:space="preserve">Φεβρουαρίου </w:t>
      </w:r>
      <w:r w:rsidR="00317DB7" w:rsidRPr="007D2D83">
        <w:rPr>
          <w:rFonts w:ascii="Arial" w:hAnsi="Arial" w:cs="Arial"/>
          <w:sz w:val="24"/>
          <w:szCs w:val="24"/>
        </w:rPr>
        <w:t>202</w:t>
      </w:r>
      <w:r w:rsidR="00EA5B51">
        <w:rPr>
          <w:rFonts w:ascii="Arial" w:hAnsi="Arial" w:cs="Arial"/>
          <w:sz w:val="24"/>
          <w:szCs w:val="24"/>
        </w:rPr>
        <w:t>6</w:t>
      </w:r>
    </w:p>
    <w:p w14:paraId="087188D7" w14:textId="77777777" w:rsidR="005130AD" w:rsidRDefault="005130AD" w:rsidP="00AE0020">
      <w:pPr>
        <w:jc w:val="center"/>
        <w:rPr>
          <w:rFonts w:ascii="Arial" w:hAnsi="Arial" w:cs="Arial"/>
          <w:b/>
          <w:sz w:val="26"/>
          <w:szCs w:val="26"/>
        </w:rPr>
      </w:pPr>
    </w:p>
    <w:p w14:paraId="6332AD82" w14:textId="34D415E2" w:rsidR="0022377B" w:rsidRPr="003275D4" w:rsidRDefault="00EA5B51" w:rsidP="00AE0020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Ολοκλήρωση </w:t>
      </w:r>
      <w:r w:rsidR="007A5BA3">
        <w:rPr>
          <w:rFonts w:ascii="Arial" w:hAnsi="Arial" w:cs="Arial"/>
          <w:b/>
          <w:sz w:val="26"/>
          <w:szCs w:val="26"/>
        </w:rPr>
        <w:t>σ</w:t>
      </w:r>
      <w:r w:rsidR="0022377B" w:rsidRPr="003275D4">
        <w:rPr>
          <w:rFonts w:ascii="Arial" w:hAnsi="Arial" w:cs="Arial"/>
          <w:b/>
          <w:sz w:val="26"/>
          <w:szCs w:val="26"/>
        </w:rPr>
        <w:t>υμφων</w:t>
      </w:r>
      <w:r w:rsidR="007A5BA3">
        <w:rPr>
          <w:rFonts w:ascii="Arial" w:hAnsi="Arial" w:cs="Arial"/>
          <w:b/>
          <w:sz w:val="26"/>
          <w:szCs w:val="26"/>
        </w:rPr>
        <w:t>ιών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22377B" w:rsidRPr="003275D4">
        <w:rPr>
          <w:rFonts w:ascii="Arial" w:hAnsi="Arial" w:cs="Arial"/>
          <w:b/>
          <w:sz w:val="26"/>
          <w:szCs w:val="26"/>
        </w:rPr>
        <w:t xml:space="preserve">με </w:t>
      </w:r>
      <w:r>
        <w:rPr>
          <w:rFonts w:ascii="Arial" w:hAnsi="Arial" w:cs="Arial"/>
          <w:b/>
          <w:sz w:val="26"/>
          <w:szCs w:val="26"/>
          <w:lang w:val="en-GB"/>
        </w:rPr>
        <w:t>Eurobank</w:t>
      </w:r>
      <w:r w:rsidRPr="00EA5B51">
        <w:rPr>
          <w:rFonts w:ascii="Arial" w:hAnsi="Arial" w:cs="Arial"/>
          <w:b/>
          <w:sz w:val="26"/>
          <w:szCs w:val="26"/>
        </w:rPr>
        <w:t xml:space="preserve"> </w:t>
      </w:r>
      <w:r w:rsidR="004F1A69">
        <w:rPr>
          <w:rFonts w:ascii="Arial" w:hAnsi="Arial" w:cs="Arial"/>
          <w:b/>
          <w:sz w:val="26"/>
          <w:szCs w:val="26"/>
          <w:lang w:val="en-GB"/>
        </w:rPr>
        <w:t>Limited</w:t>
      </w:r>
      <w:r w:rsidR="004F1A69" w:rsidRPr="003275D4">
        <w:rPr>
          <w:rFonts w:ascii="Arial" w:hAnsi="Arial" w:cs="Arial"/>
          <w:b/>
          <w:sz w:val="26"/>
          <w:szCs w:val="26"/>
        </w:rPr>
        <w:t xml:space="preserve"> </w:t>
      </w:r>
      <w:r w:rsidR="00C61895">
        <w:rPr>
          <w:rFonts w:ascii="Arial" w:hAnsi="Arial" w:cs="Arial"/>
          <w:b/>
          <w:sz w:val="26"/>
          <w:szCs w:val="26"/>
        </w:rPr>
        <w:t xml:space="preserve">για </w:t>
      </w:r>
      <w:r w:rsidR="00C61895" w:rsidRPr="003275D4">
        <w:rPr>
          <w:rFonts w:ascii="Arial" w:hAnsi="Arial" w:cs="Arial"/>
          <w:b/>
          <w:sz w:val="26"/>
          <w:szCs w:val="26"/>
        </w:rPr>
        <w:t>τερματισμό του Σχεδίου Εγγύησης Δανείων</w:t>
      </w:r>
      <w:r w:rsidR="00ED6EA8">
        <w:rPr>
          <w:rStyle w:val="FootnoteReference"/>
          <w:rFonts w:ascii="Arial" w:hAnsi="Arial" w:cs="Arial"/>
          <w:b/>
          <w:sz w:val="26"/>
          <w:szCs w:val="26"/>
        </w:rPr>
        <w:footnoteReference w:id="1"/>
      </w:r>
      <w:r w:rsidR="00C61895" w:rsidRPr="003275D4">
        <w:rPr>
          <w:rFonts w:ascii="Arial" w:hAnsi="Arial" w:cs="Arial"/>
          <w:b/>
          <w:sz w:val="26"/>
          <w:szCs w:val="26"/>
        </w:rPr>
        <w:t xml:space="preserve"> </w:t>
      </w:r>
      <w:r w:rsidR="00C61895">
        <w:rPr>
          <w:rFonts w:ascii="Arial" w:hAnsi="Arial" w:cs="Arial"/>
          <w:b/>
          <w:sz w:val="26"/>
          <w:szCs w:val="26"/>
        </w:rPr>
        <w:t xml:space="preserve">και την </w:t>
      </w:r>
      <w:r w:rsidR="00872ED7">
        <w:rPr>
          <w:rFonts w:ascii="Arial" w:hAnsi="Arial" w:cs="Arial"/>
          <w:b/>
          <w:sz w:val="26"/>
          <w:szCs w:val="26"/>
        </w:rPr>
        <w:t xml:space="preserve">επαναγορά </w:t>
      </w:r>
      <w:r w:rsidR="00C61895">
        <w:rPr>
          <w:rFonts w:ascii="Arial" w:hAnsi="Arial" w:cs="Arial"/>
          <w:b/>
          <w:sz w:val="26"/>
          <w:szCs w:val="26"/>
        </w:rPr>
        <w:t xml:space="preserve">σχετικού </w:t>
      </w:r>
      <w:r w:rsidR="00872ED7">
        <w:rPr>
          <w:rFonts w:ascii="Arial" w:hAnsi="Arial" w:cs="Arial"/>
          <w:b/>
          <w:sz w:val="26"/>
          <w:szCs w:val="26"/>
        </w:rPr>
        <w:t>χαρτοφυλακίου μη</w:t>
      </w:r>
      <w:r w:rsidR="005908FE" w:rsidRPr="00673F62">
        <w:rPr>
          <w:rFonts w:ascii="Arial" w:hAnsi="Arial" w:cs="Arial"/>
          <w:b/>
          <w:sz w:val="26"/>
          <w:szCs w:val="26"/>
        </w:rPr>
        <w:t>-</w:t>
      </w:r>
      <w:r w:rsidR="00872ED7">
        <w:rPr>
          <w:rFonts w:ascii="Arial" w:hAnsi="Arial" w:cs="Arial"/>
          <w:b/>
          <w:sz w:val="26"/>
          <w:szCs w:val="26"/>
        </w:rPr>
        <w:t xml:space="preserve">εξυπηρετούμενων δανείων καθώς </w:t>
      </w:r>
      <w:r w:rsidR="00046049" w:rsidRPr="003275D4">
        <w:rPr>
          <w:rFonts w:ascii="Arial" w:hAnsi="Arial" w:cs="Arial"/>
          <w:b/>
          <w:sz w:val="26"/>
          <w:szCs w:val="26"/>
        </w:rPr>
        <w:t xml:space="preserve">και </w:t>
      </w:r>
      <w:r w:rsidR="00526365">
        <w:rPr>
          <w:rFonts w:ascii="Arial" w:hAnsi="Arial" w:cs="Arial"/>
          <w:b/>
          <w:sz w:val="26"/>
          <w:szCs w:val="26"/>
        </w:rPr>
        <w:t xml:space="preserve">για </w:t>
      </w:r>
      <w:r w:rsidR="00C61895">
        <w:rPr>
          <w:rFonts w:ascii="Arial" w:hAnsi="Arial" w:cs="Arial"/>
          <w:b/>
          <w:sz w:val="26"/>
          <w:szCs w:val="26"/>
        </w:rPr>
        <w:t>τερματισμ</w:t>
      </w:r>
      <w:r w:rsidR="00526365">
        <w:rPr>
          <w:rFonts w:ascii="Arial" w:hAnsi="Arial" w:cs="Arial"/>
          <w:b/>
          <w:sz w:val="26"/>
          <w:szCs w:val="26"/>
        </w:rPr>
        <w:t>ό</w:t>
      </w:r>
      <w:r w:rsidR="00C61895">
        <w:rPr>
          <w:rFonts w:ascii="Arial" w:hAnsi="Arial" w:cs="Arial"/>
          <w:b/>
          <w:sz w:val="26"/>
          <w:szCs w:val="26"/>
        </w:rPr>
        <w:t xml:space="preserve"> </w:t>
      </w:r>
      <w:r w:rsidR="00046049" w:rsidRPr="003275D4">
        <w:rPr>
          <w:rFonts w:ascii="Arial" w:hAnsi="Arial" w:cs="Arial"/>
          <w:b/>
          <w:sz w:val="26"/>
          <w:szCs w:val="26"/>
        </w:rPr>
        <w:t>τ</w:t>
      </w:r>
      <w:r w:rsidR="003275D4" w:rsidRPr="003275D4">
        <w:rPr>
          <w:rFonts w:ascii="Arial" w:hAnsi="Arial" w:cs="Arial"/>
          <w:b/>
          <w:sz w:val="26"/>
          <w:szCs w:val="26"/>
        </w:rPr>
        <w:t>ων</w:t>
      </w:r>
      <w:r w:rsidR="00046049" w:rsidRPr="003275D4">
        <w:rPr>
          <w:rFonts w:ascii="Arial" w:hAnsi="Arial" w:cs="Arial"/>
          <w:b/>
          <w:sz w:val="26"/>
          <w:szCs w:val="26"/>
        </w:rPr>
        <w:t xml:space="preserve"> </w:t>
      </w:r>
      <w:r w:rsidR="003275D4" w:rsidRPr="003275D4">
        <w:rPr>
          <w:rFonts w:ascii="Arial" w:hAnsi="Arial" w:cs="Arial"/>
          <w:b/>
          <w:sz w:val="26"/>
          <w:szCs w:val="26"/>
        </w:rPr>
        <w:t>υποχρεώσεων</w:t>
      </w:r>
      <w:r w:rsidR="00046049" w:rsidRPr="003275D4">
        <w:rPr>
          <w:rFonts w:ascii="Arial" w:hAnsi="Arial" w:cs="Arial"/>
          <w:b/>
          <w:sz w:val="26"/>
          <w:szCs w:val="26"/>
        </w:rPr>
        <w:t xml:space="preserve"> σε σχέση με τη </w:t>
      </w:r>
      <w:r w:rsidR="003275D4" w:rsidRPr="003275D4">
        <w:rPr>
          <w:rFonts w:ascii="Arial" w:hAnsi="Arial" w:cs="Arial"/>
          <w:b/>
          <w:sz w:val="26"/>
          <w:szCs w:val="26"/>
        </w:rPr>
        <w:t>Σ</w:t>
      </w:r>
      <w:r w:rsidR="00046049" w:rsidRPr="003275D4">
        <w:rPr>
          <w:rFonts w:ascii="Arial" w:hAnsi="Arial" w:cs="Arial"/>
          <w:b/>
          <w:sz w:val="26"/>
          <w:szCs w:val="26"/>
        </w:rPr>
        <w:t xml:space="preserve">υμφωνία </w:t>
      </w:r>
      <w:r w:rsidR="003275D4" w:rsidRPr="003275D4">
        <w:rPr>
          <w:rFonts w:ascii="Arial" w:hAnsi="Arial" w:cs="Arial"/>
          <w:b/>
          <w:sz w:val="26"/>
          <w:szCs w:val="26"/>
        </w:rPr>
        <w:t>Μ</w:t>
      </w:r>
      <w:r w:rsidR="00046049" w:rsidRPr="003275D4">
        <w:rPr>
          <w:rFonts w:ascii="Arial" w:hAnsi="Arial" w:cs="Arial"/>
          <w:b/>
          <w:sz w:val="26"/>
          <w:szCs w:val="26"/>
        </w:rPr>
        <w:t xml:space="preserve">εταφοράς </w:t>
      </w:r>
      <w:r w:rsidR="003275D4" w:rsidRPr="003275D4">
        <w:rPr>
          <w:rFonts w:ascii="Arial" w:hAnsi="Arial" w:cs="Arial"/>
          <w:b/>
          <w:sz w:val="26"/>
          <w:szCs w:val="26"/>
        </w:rPr>
        <w:t>Π</w:t>
      </w:r>
      <w:r w:rsidR="00046049" w:rsidRPr="003275D4">
        <w:rPr>
          <w:rFonts w:ascii="Arial" w:hAnsi="Arial" w:cs="Arial"/>
          <w:b/>
          <w:sz w:val="26"/>
          <w:szCs w:val="26"/>
        </w:rPr>
        <w:t xml:space="preserve">εριουσιακών </w:t>
      </w:r>
      <w:r w:rsidR="003275D4" w:rsidRPr="003275D4">
        <w:rPr>
          <w:rFonts w:ascii="Arial" w:hAnsi="Arial" w:cs="Arial"/>
          <w:b/>
          <w:sz w:val="26"/>
          <w:szCs w:val="26"/>
        </w:rPr>
        <w:t>Σ</w:t>
      </w:r>
      <w:r w:rsidR="00046049" w:rsidRPr="003275D4">
        <w:rPr>
          <w:rFonts w:ascii="Arial" w:hAnsi="Arial" w:cs="Arial"/>
          <w:b/>
          <w:sz w:val="26"/>
          <w:szCs w:val="26"/>
        </w:rPr>
        <w:t>τοιχείων</w:t>
      </w:r>
    </w:p>
    <w:p w14:paraId="6B92981B" w14:textId="77777777" w:rsidR="0022377B" w:rsidRDefault="0022377B" w:rsidP="00D60783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</w:p>
    <w:p w14:paraId="3D44D911" w14:textId="4F5B96AE" w:rsidR="0022377B" w:rsidRDefault="00EA5B51" w:rsidP="0022377B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Σε συνέχεια της ανακοίνωσης ημερομηνίας 15 Απριλίου 2025</w:t>
      </w:r>
      <w:r w:rsidR="007A5BA3" w:rsidRPr="007A5BA3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η ΚΕΔΙΠΕΣ ενημερώνει ότι </w:t>
      </w:r>
      <w:r w:rsidR="00C925B0">
        <w:rPr>
          <w:rFonts w:ascii="Arial" w:hAnsi="Arial" w:cs="Arial"/>
          <w:bCs/>
          <w:sz w:val="24"/>
          <w:szCs w:val="24"/>
        </w:rPr>
        <w:t xml:space="preserve">στις </w:t>
      </w:r>
      <w:r w:rsidR="00832720">
        <w:rPr>
          <w:rFonts w:ascii="Arial" w:hAnsi="Arial" w:cs="Arial"/>
          <w:bCs/>
          <w:sz w:val="24"/>
          <w:szCs w:val="24"/>
        </w:rPr>
        <w:t xml:space="preserve">30 Ιανουαρίου 2026 </w:t>
      </w:r>
      <w:r>
        <w:rPr>
          <w:rFonts w:ascii="Arial" w:hAnsi="Arial" w:cs="Arial"/>
          <w:bCs/>
          <w:sz w:val="24"/>
          <w:szCs w:val="24"/>
        </w:rPr>
        <w:t>έχ</w:t>
      </w:r>
      <w:r w:rsidR="00B266F0">
        <w:rPr>
          <w:rFonts w:ascii="Arial" w:hAnsi="Arial" w:cs="Arial"/>
          <w:bCs/>
          <w:sz w:val="24"/>
          <w:szCs w:val="24"/>
        </w:rPr>
        <w:t xml:space="preserve">ουν ολοκληρωθεί οι </w:t>
      </w:r>
      <w:r w:rsidR="007A5BA3">
        <w:rPr>
          <w:rFonts w:ascii="Arial" w:hAnsi="Arial" w:cs="Arial"/>
          <w:bCs/>
          <w:sz w:val="24"/>
          <w:szCs w:val="24"/>
        </w:rPr>
        <w:t xml:space="preserve">συμφωνίες </w:t>
      </w:r>
      <w:r w:rsidR="00B266F0">
        <w:rPr>
          <w:rFonts w:ascii="Arial" w:hAnsi="Arial" w:cs="Arial"/>
          <w:bCs/>
          <w:sz w:val="24"/>
          <w:szCs w:val="24"/>
        </w:rPr>
        <w:t xml:space="preserve">μέσω των οποίων υλοποιήθηκε η </w:t>
      </w:r>
      <w:r>
        <w:rPr>
          <w:rFonts w:ascii="Arial" w:hAnsi="Arial" w:cs="Arial"/>
          <w:bCs/>
          <w:sz w:val="24"/>
          <w:szCs w:val="24"/>
        </w:rPr>
        <w:t>προκαταρ</w:t>
      </w:r>
      <w:r w:rsidR="00ED6EA8">
        <w:rPr>
          <w:rFonts w:ascii="Arial" w:hAnsi="Arial" w:cs="Arial"/>
          <w:bCs/>
          <w:sz w:val="24"/>
          <w:szCs w:val="24"/>
        </w:rPr>
        <w:t>κ</w:t>
      </w:r>
      <w:r>
        <w:rPr>
          <w:rFonts w:ascii="Arial" w:hAnsi="Arial" w:cs="Arial"/>
          <w:bCs/>
          <w:sz w:val="24"/>
          <w:szCs w:val="24"/>
        </w:rPr>
        <w:t xml:space="preserve">τική συμφωνία </w:t>
      </w:r>
      <w:r w:rsidR="00CA6E0F">
        <w:rPr>
          <w:rFonts w:ascii="Arial" w:hAnsi="Arial" w:cs="Arial"/>
          <w:bCs/>
          <w:sz w:val="24"/>
          <w:szCs w:val="24"/>
        </w:rPr>
        <w:t xml:space="preserve">μεταξύ </w:t>
      </w:r>
      <w:r w:rsidR="0022377B" w:rsidRPr="0022377B">
        <w:rPr>
          <w:rFonts w:ascii="Arial" w:hAnsi="Arial" w:cs="Arial"/>
          <w:bCs/>
          <w:sz w:val="24"/>
          <w:szCs w:val="24"/>
        </w:rPr>
        <w:t xml:space="preserve">ΚΕΔΙΠΕΣ και </w:t>
      </w:r>
      <w:r>
        <w:rPr>
          <w:rFonts w:ascii="Arial" w:hAnsi="Arial" w:cs="Arial"/>
          <w:bCs/>
          <w:sz w:val="24"/>
          <w:szCs w:val="24"/>
          <w:lang w:val="en-GB"/>
        </w:rPr>
        <w:t>Eurobank</w:t>
      </w:r>
      <w:r w:rsidRPr="004F1A69">
        <w:rPr>
          <w:rFonts w:ascii="Arial" w:hAnsi="Arial" w:cs="Arial"/>
          <w:bCs/>
          <w:sz w:val="24"/>
          <w:szCs w:val="24"/>
        </w:rPr>
        <w:t xml:space="preserve"> </w:t>
      </w:r>
      <w:r w:rsidR="004F1A69" w:rsidRPr="004F1A69">
        <w:rPr>
          <w:rFonts w:ascii="Arial" w:hAnsi="Arial" w:cs="Arial"/>
          <w:bCs/>
          <w:sz w:val="24"/>
          <w:szCs w:val="24"/>
          <w:lang w:val="en-GB"/>
        </w:rPr>
        <w:t>Limited</w:t>
      </w:r>
      <w:r w:rsidR="004F1A69" w:rsidRPr="004F1A69" w:rsidDel="004F1A69">
        <w:rPr>
          <w:rFonts w:ascii="Arial" w:hAnsi="Arial" w:cs="Arial"/>
          <w:bCs/>
          <w:sz w:val="24"/>
          <w:szCs w:val="24"/>
        </w:rPr>
        <w:t xml:space="preserve"> </w:t>
      </w:r>
      <w:r w:rsidR="007A5BA3">
        <w:rPr>
          <w:rFonts w:ascii="Arial" w:hAnsi="Arial" w:cs="Arial"/>
          <w:bCs/>
          <w:sz w:val="24"/>
          <w:szCs w:val="24"/>
        </w:rPr>
        <w:t>(</w:t>
      </w:r>
      <w:r w:rsidR="007A5BA3" w:rsidRPr="007A5BA3">
        <w:rPr>
          <w:rFonts w:ascii="Arial" w:hAnsi="Arial" w:cs="Arial"/>
          <w:bCs/>
          <w:sz w:val="24"/>
          <w:szCs w:val="24"/>
        </w:rPr>
        <w:t>πρώην Ελληνική Τράπεζα)</w:t>
      </w:r>
      <w:r w:rsidR="007A5BA3" w:rsidRPr="00E84D78">
        <w:rPr>
          <w:bCs/>
        </w:rPr>
        <w:t xml:space="preserve"> </w:t>
      </w:r>
      <w:r w:rsidR="0022377B" w:rsidRPr="0022377B">
        <w:rPr>
          <w:rFonts w:ascii="Arial" w:hAnsi="Arial" w:cs="Arial"/>
          <w:bCs/>
          <w:sz w:val="24"/>
          <w:szCs w:val="24"/>
        </w:rPr>
        <w:t>για</w:t>
      </w:r>
      <w:r w:rsidR="0022377B">
        <w:rPr>
          <w:rFonts w:ascii="Arial" w:hAnsi="Arial" w:cs="Arial"/>
          <w:bCs/>
          <w:sz w:val="24"/>
          <w:szCs w:val="24"/>
        </w:rPr>
        <w:t xml:space="preserve"> </w:t>
      </w:r>
      <w:r w:rsidR="003E6186">
        <w:rPr>
          <w:rFonts w:ascii="Arial" w:hAnsi="Arial" w:cs="Arial"/>
          <w:bCs/>
          <w:sz w:val="24"/>
          <w:szCs w:val="24"/>
        </w:rPr>
        <w:t xml:space="preserve">τον </w:t>
      </w:r>
      <w:r w:rsidR="003E6186" w:rsidRPr="00286F87">
        <w:rPr>
          <w:rFonts w:ascii="Arial" w:hAnsi="Arial" w:cs="Arial"/>
          <w:bCs/>
          <w:sz w:val="24"/>
          <w:szCs w:val="24"/>
        </w:rPr>
        <w:t xml:space="preserve">τερματισμό του Σχεδίου Εγγύησης Δανείων </w:t>
      </w:r>
      <w:r w:rsidR="003E6186">
        <w:rPr>
          <w:rFonts w:ascii="Arial" w:hAnsi="Arial" w:cs="Arial"/>
          <w:bCs/>
          <w:sz w:val="24"/>
          <w:szCs w:val="24"/>
        </w:rPr>
        <w:t xml:space="preserve">και την επαναγορά σχετικού </w:t>
      </w:r>
      <w:r w:rsidR="00872ED7">
        <w:rPr>
          <w:rFonts w:ascii="Arial" w:hAnsi="Arial" w:cs="Arial"/>
          <w:bCs/>
          <w:sz w:val="24"/>
          <w:szCs w:val="24"/>
        </w:rPr>
        <w:t>χαρτοφυλακίου μη</w:t>
      </w:r>
      <w:r w:rsidR="005908FE" w:rsidRPr="00673F62">
        <w:rPr>
          <w:rFonts w:ascii="Arial" w:hAnsi="Arial" w:cs="Arial"/>
          <w:bCs/>
          <w:sz w:val="24"/>
          <w:szCs w:val="24"/>
        </w:rPr>
        <w:t>-</w:t>
      </w:r>
      <w:r w:rsidR="00872ED7">
        <w:rPr>
          <w:rFonts w:ascii="Arial" w:hAnsi="Arial" w:cs="Arial"/>
          <w:bCs/>
          <w:sz w:val="24"/>
          <w:szCs w:val="24"/>
        </w:rPr>
        <w:t>εξυπηρετούμενων δανείων</w:t>
      </w:r>
      <w:r w:rsidR="003E6186">
        <w:rPr>
          <w:rFonts w:ascii="Arial" w:hAnsi="Arial" w:cs="Arial"/>
          <w:bCs/>
          <w:sz w:val="24"/>
          <w:szCs w:val="24"/>
        </w:rPr>
        <w:t>,</w:t>
      </w:r>
      <w:r w:rsidR="00872ED7">
        <w:rPr>
          <w:rFonts w:ascii="Arial" w:hAnsi="Arial" w:cs="Arial"/>
          <w:bCs/>
          <w:sz w:val="24"/>
          <w:szCs w:val="24"/>
        </w:rPr>
        <w:t xml:space="preserve"> καθώς </w:t>
      </w:r>
      <w:r w:rsidR="003C6947">
        <w:rPr>
          <w:rFonts w:ascii="Arial" w:hAnsi="Arial" w:cs="Arial"/>
          <w:bCs/>
          <w:sz w:val="24"/>
          <w:szCs w:val="24"/>
        </w:rPr>
        <w:t>και</w:t>
      </w:r>
      <w:r w:rsidR="003C6947" w:rsidRPr="003C6947">
        <w:rPr>
          <w:rFonts w:ascii="Arial" w:hAnsi="Arial" w:cs="Arial"/>
          <w:bCs/>
          <w:sz w:val="24"/>
          <w:szCs w:val="24"/>
        </w:rPr>
        <w:t xml:space="preserve"> τον τερματισμό των υποχρεώσεων και εγγυήσεων αποζημιώσεων σε σχέση με την Συμφωνία Μεταφορά</w:t>
      </w:r>
      <w:r w:rsidR="00DC496D">
        <w:rPr>
          <w:rFonts w:ascii="Arial" w:hAnsi="Arial" w:cs="Arial"/>
          <w:bCs/>
          <w:sz w:val="24"/>
          <w:szCs w:val="24"/>
        </w:rPr>
        <w:t>ς</w:t>
      </w:r>
      <w:r w:rsidR="003C6947" w:rsidRPr="003C6947">
        <w:rPr>
          <w:rFonts w:ascii="Arial" w:hAnsi="Arial" w:cs="Arial"/>
          <w:bCs/>
          <w:sz w:val="24"/>
          <w:szCs w:val="24"/>
        </w:rPr>
        <w:t xml:space="preserve"> Περιουσιακών Στοιχείων</w:t>
      </w:r>
      <w:r w:rsidR="00DC496D">
        <w:rPr>
          <w:rFonts w:ascii="Arial" w:hAnsi="Arial" w:cs="Arial"/>
          <w:bCs/>
          <w:sz w:val="24"/>
          <w:szCs w:val="24"/>
        </w:rPr>
        <w:t>,</w:t>
      </w:r>
      <w:r w:rsidR="008E0AE7" w:rsidRPr="008E0AE7">
        <w:rPr>
          <w:rFonts w:ascii="Arial" w:hAnsi="Arial" w:cs="Arial"/>
          <w:bCs/>
          <w:sz w:val="24"/>
          <w:szCs w:val="24"/>
        </w:rPr>
        <w:t xml:space="preserve"> </w:t>
      </w:r>
      <w:r w:rsidR="008E0AE7">
        <w:rPr>
          <w:rFonts w:ascii="Arial" w:hAnsi="Arial" w:cs="Arial"/>
          <w:bCs/>
          <w:sz w:val="24"/>
          <w:szCs w:val="24"/>
        </w:rPr>
        <w:t xml:space="preserve">(συνολικά η «Συναλλαγή»), </w:t>
      </w:r>
      <w:r w:rsidR="00046049" w:rsidRPr="00286F87">
        <w:rPr>
          <w:rFonts w:ascii="Arial" w:hAnsi="Arial" w:cs="Arial"/>
          <w:bCs/>
          <w:sz w:val="24"/>
          <w:szCs w:val="24"/>
        </w:rPr>
        <w:t xml:space="preserve">με την οποία έγινε η πώληση </w:t>
      </w:r>
      <w:r w:rsidR="00AE0020" w:rsidRPr="00286F87">
        <w:rPr>
          <w:rFonts w:ascii="Arial" w:hAnsi="Arial" w:cs="Arial"/>
          <w:bCs/>
          <w:sz w:val="24"/>
          <w:szCs w:val="24"/>
        </w:rPr>
        <w:t xml:space="preserve">των τραπεζικών </w:t>
      </w:r>
      <w:r w:rsidR="00AE0020">
        <w:rPr>
          <w:rFonts w:ascii="Arial" w:hAnsi="Arial" w:cs="Arial"/>
          <w:bCs/>
          <w:sz w:val="24"/>
          <w:szCs w:val="24"/>
        </w:rPr>
        <w:t xml:space="preserve">εργασιών της πρώην Συνεργατικής Κυπριακής Τράπεζας στην </w:t>
      </w:r>
      <w:r w:rsidR="00A81CEE">
        <w:rPr>
          <w:rFonts w:ascii="Arial" w:hAnsi="Arial" w:cs="Arial"/>
          <w:bCs/>
          <w:sz w:val="24"/>
          <w:szCs w:val="24"/>
        </w:rPr>
        <w:t xml:space="preserve">πρώην </w:t>
      </w:r>
      <w:r w:rsidR="00AE0020">
        <w:rPr>
          <w:rFonts w:ascii="Arial" w:hAnsi="Arial" w:cs="Arial"/>
          <w:bCs/>
          <w:sz w:val="24"/>
          <w:szCs w:val="24"/>
        </w:rPr>
        <w:t>Ελληνική Τράπεζα</w:t>
      </w:r>
      <w:r w:rsidR="003C6947">
        <w:rPr>
          <w:rFonts w:ascii="Arial" w:hAnsi="Arial" w:cs="Arial"/>
          <w:bCs/>
          <w:sz w:val="24"/>
          <w:szCs w:val="24"/>
        </w:rPr>
        <w:t xml:space="preserve"> το 2018</w:t>
      </w:r>
      <w:r w:rsidR="008E0AE7">
        <w:rPr>
          <w:rFonts w:ascii="Arial" w:hAnsi="Arial" w:cs="Arial"/>
          <w:bCs/>
          <w:sz w:val="24"/>
          <w:szCs w:val="24"/>
        </w:rPr>
        <w:t>.</w:t>
      </w:r>
      <w:r w:rsidR="00DC496D">
        <w:rPr>
          <w:rFonts w:ascii="Arial" w:hAnsi="Arial" w:cs="Arial"/>
          <w:bCs/>
          <w:sz w:val="24"/>
          <w:szCs w:val="24"/>
        </w:rPr>
        <w:t xml:space="preserve"> </w:t>
      </w:r>
    </w:p>
    <w:p w14:paraId="3A86F9A9" w14:textId="6B70F0B4" w:rsidR="00B266F0" w:rsidRDefault="00B266F0" w:rsidP="0022377B">
      <w:pPr>
        <w:pStyle w:val="Default"/>
        <w:adjustRightInd/>
        <w:contextualSpacing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Αναλυτικά, οι τελικές </w:t>
      </w:r>
      <w:r w:rsidR="007A5BA3">
        <w:rPr>
          <w:rFonts w:eastAsia="Arial"/>
          <w:color w:val="auto"/>
        </w:rPr>
        <w:t>σ</w:t>
      </w:r>
      <w:r>
        <w:rPr>
          <w:rFonts w:eastAsia="Arial"/>
          <w:color w:val="auto"/>
        </w:rPr>
        <w:t xml:space="preserve">υμφωνίες </w:t>
      </w:r>
      <w:r w:rsidRPr="00526365">
        <w:rPr>
          <w:rFonts w:eastAsia="Arial"/>
          <w:color w:val="auto"/>
        </w:rPr>
        <w:t>διαλαμβάνουν</w:t>
      </w:r>
      <w:r w:rsidR="00FF5ADD">
        <w:rPr>
          <w:rFonts w:eastAsia="Arial"/>
          <w:color w:val="auto"/>
        </w:rPr>
        <w:t xml:space="preserve"> τα ακόλουθα</w:t>
      </w:r>
      <w:r>
        <w:rPr>
          <w:rFonts w:eastAsia="Arial"/>
          <w:color w:val="auto"/>
        </w:rPr>
        <w:t>:</w:t>
      </w:r>
    </w:p>
    <w:p w14:paraId="17180B03" w14:textId="77777777" w:rsidR="00177030" w:rsidRDefault="00177030" w:rsidP="0022377B">
      <w:pPr>
        <w:pStyle w:val="Default"/>
        <w:adjustRightInd/>
        <w:contextualSpacing/>
        <w:jc w:val="both"/>
        <w:rPr>
          <w:rFonts w:eastAsia="Arial"/>
          <w:color w:val="auto"/>
        </w:rPr>
      </w:pPr>
    </w:p>
    <w:p w14:paraId="7DE84B2A" w14:textId="1DDCD10E" w:rsidR="00177030" w:rsidRPr="00177030" w:rsidRDefault="00177030" w:rsidP="00177030">
      <w:pPr>
        <w:pStyle w:val="Default"/>
        <w:numPr>
          <w:ilvl w:val="0"/>
          <w:numId w:val="5"/>
        </w:numPr>
        <w:adjustRightInd/>
        <w:contextualSpacing/>
        <w:jc w:val="both"/>
        <w:rPr>
          <w:rFonts w:eastAsia="Arial"/>
          <w:b/>
          <w:bCs/>
          <w:color w:val="auto"/>
        </w:rPr>
      </w:pPr>
      <w:r w:rsidRPr="00177030">
        <w:rPr>
          <w:rFonts w:eastAsia="Arial"/>
          <w:b/>
          <w:bCs/>
          <w:color w:val="auto"/>
        </w:rPr>
        <w:t xml:space="preserve">Συμφωνία Τερματισμού </w:t>
      </w:r>
      <w:r w:rsidR="00987AF6">
        <w:rPr>
          <w:rFonts w:eastAsia="Arial"/>
          <w:b/>
          <w:bCs/>
          <w:color w:val="auto"/>
        </w:rPr>
        <w:t xml:space="preserve">του </w:t>
      </w:r>
      <w:r w:rsidRPr="00177030">
        <w:rPr>
          <w:rFonts w:eastAsia="Arial"/>
          <w:b/>
          <w:bCs/>
          <w:color w:val="auto"/>
        </w:rPr>
        <w:t>Σχεδίου Εγγύησης Δανείων</w:t>
      </w:r>
      <w:r>
        <w:rPr>
          <w:rFonts w:eastAsia="Arial"/>
          <w:b/>
          <w:bCs/>
          <w:color w:val="auto"/>
        </w:rPr>
        <w:t xml:space="preserve"> </w:t>
      </w:r>
    </w:p>
    <w:p w14:paraId="70073DF8" w14:textId="224E3DE3" w:rsidR="00B266F0" w:rsidRDefault="00B266F0" w:rsidP="0022377B">
      <w:pPr>
        <w:pStyle w:val="Default"/>
        <w:adjustRightInd/>
        <w:contextualSpacing/>
        <w:jc w:val="both"/>
        <w:rPr>
          <w:rFonts w:eastAsia="Arial"/>
          <w:color w:val="auto"/>
        </w:rPr>
      </w:pPr>
    </w:p>
    <w:p w14:paraId="37E783A3" w14:textId="3FF8CFF7" w:rsidR="00B266F0" w:rsidRPr="00177030" w:rsidRDefault="00B266F0" w:rsidP="0069577E">
      <w:pPr>
        <w:pStyle w:val="Default"/>
        <w:numPr>
          <w:ilvl w:val="0"/>
          <w:numId w:val="4"/>
        </w:numPr>
        <w:adjustRightInd/>
        <w:contextualSpacing/>
        <w:jc w:val="both"/>
        <w:rPr>
          <w:rFonts w:eastAsia="Arial"/>
          <w:b/>
          <w:bCs/>
          <w:color w:val="auto"/>
        </w:rPr>
      </w:pPr>
      <w:r w:rsidRPr="00177030">
        <w:rPr>
          <w:rFonts w:eastAsia="Arial"/>
          <w:b/>
          <w:bCs/>
          <w:color w:val="auto"/>
        </w:rPr>
        <w:t>Τερματισμό του Σχεδίου με ημερομηνία αναφοράς 30 Σεπτεμβρίου 2024.</w:t>
      </w:r>
      <w:r w:rsidR="00177030" w:rsidRPr="00177030">
        <w:rPr>
          <w:rFonts w:eastAsia="Arial"/>
          <w:b/>
          <w:bCs/>
          <w:color w:val="auto"/>
        </w:rPr>
        <w:t xml:space="preserve"> </w:t>
      </w:r>
    </w:p>
    <w:p w14:paraId="7FD36AEA" w14:textId="77777777" w:rsidR="00177030" w:rsidRDefault="00177030" w:rsidP="0069577E">
      <w:pPr>
        <w:pStyle w:val="Default"/>
        <w:adjustRightInd/>
        <w:ind w:left="720"/>
        <w:contextualSpacing/>
        <w:jc w:val="both"/>
        <w:rPr>
          <w:rFonts w:eastAsia="Arial"/>
          <w:color w:val="auto"/>
        </w:rPr>
      </w:pPr>
    </w:p>
    <w:p w14:paraId="0ACD9E32" w14:textId="37A74472" w:rsidR="00177030" w:rsidRDefault="006F1612" w:rsidP="0069577E">
      <w:pPr>
        <w:pStyle w:val="Default"/>
        <w:adjustRightInd/>
        <w:ind w:left="720"/>
        <w:contextualSpacing/>
        <w:jc w:val="both"/>
        <w:rPr>
          <w:rFonts w:eastAsia="Arial"/>
          <w:color w:val="auto"/>
        </w:rPr>
      </w:pPr>
      <w:r>
        <w:rPr>
          <w:rFonts w:eastAsia="Arial"/>
          <w:color w:val="auto"/>
          <w:lang w:val="en-US"/>
        </w:rPr>
        <w:t>T</w:t>
      </w:r>
      <w:r w:rsidR="0022377B">
        <w:rPr>
          <w:rFonts w:eastAsia="Arial"/>
          <w:color w:val="auto"/>
        </w:rPr>
        <w:t xml:space="preserve">ο </w:t>
      </w:r>
      <w:r w:rsidR="0022377B" w:rsidRPr="0022377B">
        <w:rPr>
          <w:rFonts w:eastAsia="Arial"/>
          <w:color w:val="auto"/>
        </w:rPr>
        <w:t xml:space="preserve">Σχέδιο </w:t>
      </w:r>
      <w:r w:rsidR="00526365">
        <w:rPr>
          <w:rFonts w:eastAsia="Arial"/>
          <w:color w:val="auto"/>
        </w:rPr>
        <w:t>παρείχε</w:t>
      </w:r>
      <w:r w:rsidR="006534D4">
        <w:rPr>
          <w:rFonts w:eastAsia="Arial"/>
          <w:color w:val="auto"/>
        </w:rPr>
        <w:t xml:space="preserve"> </w:t>
      </w:r>
      <w:r w:rsidR="0022377B">
        <w:rPr>
          <w:rFonts w:eastAsia="Arial"/>
          <w:color w:val="auto"/>
        </w:rPr>
        <w:t xml:space="preserve">προστασία </w:t>
      </w:r>
      <w:r w:rsidR="006C76B9">
        <w:rPr>
          <w:rFonts w:eastAsia="Arial"/>
          <w:color w:val="auto"/>
        </w:rPr>
        <w:t xml:space="preserve">στην Ελληνική Τράπεζα </w:t>
      </w:r>
      <w:r w:rsidR="006534D4">
        <w:rPr>
          <w:rFonts w:eastAsia="Arial"/>
          <w:color w:val="auto"/>
        </w:rPr>
        <w:t xml:space="preserve">για το </w:t>
      </w:r>
      <w:r w:rsidR="0022377B">
        <w:rPr>
          <w:rFonts w:eastAsia="Arial"/>
          <w:color w:val="auto"/>
        </w:rPr>
        <w:t xml:space="preserve">90% </w:t>
      </w:r>
      <w:r w:rsidR="006534D4">
        <w:rPr>
          <w:rFonts w:eastAsia="Arial"/>
          <w:color w:val="auto"/>
        </w:rPr>
        <w:t xml:space="preserve">των </w:t>
      </w:r>
      <w:r w:rsidR="0022377B">
        <w:rPr>
          <w:rFonts w:eastAsia="Arial"/>
          <w:color w:val="auto"/>
        </w:rPr>
        <w:t xml:space="preserve">πιστωτικών ζημιών </w:t>
      </w:r>
      <w:r w:rsidR="00AE0020">
        <w:rPr>
          <w:rFonts w:eastAsia="Arial"/>
          <w:color w:val="auto"/>
        </w:rPr>
        <w:t>σε</w:t>
      </w:r>
      <w:r w:rsidR="0022377B">
        <w:rPr>
          <w:rFonts w:eastAsia="Arial"/>
          <w:color w:val="auto"/>
        </w:rPr>
        <w:t xml:space="preserve"> δάνεια με συμβατική αξία </w:t>
      </w:r>
      <w:r w:rsidR="0022377B" w:rsidRPr="0022377B">
        <w:rPr>
          <w:rFonts w:eastAsia="Arial"/>
          <w:color w:val="auto"/>
        </w:rPr>
        <w:t>€2.608εκ</w:t>
      </w:r>
      <w:r w:rsidR="00286F87">
        <w:rPr>
          <w:rFonts w:eastAsia="Arial"/>
          <w:color w:val="auto"/>
        </w:rPr>
        <w:t>.</w:t>
      </w:r>
      <w:r w:rsidR="0022377B">
        <w:rPr>
          <w:rFonts w:eastAsia="Arial"/>
          <w:color w:val="auto"/>
        </w:rPr>
        <w:t xml:space="preserve"> και τιμή αναφοράς €</w:t>
      </w:r>
      <w:r w:rsidR="0022377B" w:rsidRPr="0022377B">
        <w:rPr>
          <w:rFonts w:eastAsia="Arial"/>
          <w:color w:val="auto"/>
        </w:rPr>
        <w:t xml:space="preserve">2.271εκ. κατά την έναρξη του Σχεδίου (τιμή αναφοράς είναι το ποσό που </w:t>
      </w:r>
      <w:r w:rsidR="00526365" w:rsidRPr="0022377B">
        <w:rPr>
          <w:rFonts w:eastAsia="Arial"/>
          <w:color w:val="auto"/>
        </w:rPr>
        <w:t>καλυπτ</w:t>
      </w:r>
      <w:r w:rsidR="00526365">
        <w:rPr>
          <w:rFonts w:eastAsia="Arial"/>
          <w:color w:val="auto"/>
        </w:rPr>
        <w:t>ό</w:t>
      </w:r>
      <w:r w:rsidR="00526365" w:rsidRPr="0022377B">
        <w:rPr>
          <w:rFonts w:eastAsia="Arial"/>
          <w:color w:val="auto"/>
        </w:rPr>
        <w:t>ταν</w:t>
      </w:r>
      <w:r w:rsidR="0022377B" w:rsidRPr="0022377B">
        <w:rPr>
          <w:rFonts w:eastAsia="Arial"/>
          <w:color w:val="auto"/>
        </w:rPr>
        <w:t xml:space="preserve"> από το Σχέδιο)</w:t>
      </w:r>
      <w:r w:rsidR="0022377B">
        <w:rPr>
          <w:rFonts w:eastAsia="Arial"/>
          <w:color w:val="auto"/>
        </w:rPr>
        <w:t xml:space="preserve">. </w:t>
      </w:r>
      <w:r w:rsidR="000F7B73">
        <w:rPr>
          <w:rFonts w:eastAsia="Arial"/>
          <w:color w:val="auto"/>
        </w:rPr>
        <w:t xml:space="preserve">Η διάρκεια του Σχεδίου </w:t>
      </w:r>
      <w:r w:rsidR="00B266F0">
        <w:rPr>
          <w:rFonts w:eastAsia="Arial"/>
          <w:color w:val="auto"/>
        </w:rPr>
        <w:t xml:space="preserve">ήταν </w:t>
      </w:r>
      <w:r w:rsidR="000F7B73">
        <w:rPr>
          <w:rFonts w:eastAsia="Arial"/>
          <w:color w:val="auto"/>
        </w:rPr>
        <w:t xml:space="preserve">μέχρι το 2030. </w:t>
      </w:r>
    </w:p>
    <w:p w14:paraId="1E452451" w14:textId="77777777" w:rsidR="00177030" w:rsidRDefault="00177030" w:rsidP="0069577E">
      <w:pPr>
        <w:pStyle w:val="Default"/>
        <w:adjustRightInd/>
        <w:ind w:left="720"/>
        <w:contextualSpacing/>
        <w:jc w:val="both"/>
        <w:rPr>
          <w:rFonts w:eastAsia="Arial"/>
          <w:color w:val="auto"/>
        </w:rPr>
      </w:pPr>
    </w:p>
    <w:p w14:paraId="482F7748" w14:textId="446439FF" w:rsidR="0022377B" w:rsidRDefault="0022377B" w:rsidP="0069577E">
      <w:pPr>
        <w:pStyle w:val="Default"/>
        <w:adjustRightInd/>
        <w:ind w:left="720"/>
        <w:contextualSpacing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Η</w:t>
      </w:r>
      <w:r w:rsidRPr="0022377B">
        <w:rPr>
          <w:rFonts w:eastAsia="Arial"/>
          <w:color w:val="auto"/>
        </w:rPr>
        <w:t xml:space="preserve"> συμβατική αξία των περιουσιακών στοιχείων που καλύπτοντα</w:t>
      </w:r>
      <w:r w:rsidR="00A52945">
        <w:rPr>
          <w:rFonts w:eastAsia="Arial"/>
          <w:color w:val="auto"/>
        </w:rPr>
        <w:t>ν</w:t>
      </w:r>
      <w:r w:rsidRPr="0022377B">
        <w:rPr>
          <w:rFonts w:eastAsia="Arial"/>
          <w:color w:val="auto"/>
        </w:rPr>
        <w:t xml:space="preserve"> από το Σχέδιο στις 30</w:t>
      </w:r>
      <w:r w:rsidR="006F1612" w:rsidRPr="00B35C2A">
        <w:rPr>
          <w:rFonts w:eastAsia="Arial"/>
          <w:color w:val="auto"/>
        </w:rPr>
        <w:t xml:space="preserve"> </w:t>
      </w:r>
      <w:r w:rsidR="006F1612">
        <w:rPr>
          <w:rFonts w:eastAsia="Arial"/>
          <w:color w:val="auto"/>
        </w:rPr>
        <w:t xml:space="preserve">Σεπτεμβρίου </w:t>
      </w:r>
      <w:r w:rsidRPr="0022377B">
        <w:rPr>
          <w:rFonts w:eastAsia="Arial"/>
          <w:color w:val="auto"/>
        </w:rPr>
        <w:t xml:space="preserve">2024 </w:t>
      </w:r>
      <w:r w:rsidR="00A52945" w:rsidRPr="0022377B">
        <w:rPr>
          <w:rFonts w:eastAsia="Arial"/>
          <w:color w:val="auto"/>
        </w:rPr>
        <w:t>ανερχ</w:t>
      </w:r>
      <w:r w:rsidR="00A52945">
        <w:rPr>
          <w:rFonts w:eastAsia="Arial"/>
          <w:color w:val="auto"/>
        </w:rPr>
        <w:t>όταν</w:t>
      </w:r>
      <w:r w:rsidRPr="0022377B">
        <w:rPr>
          <w:rFonts w:eastAsia="Arial"/>
          <w:color w:val="auto"/>
        </w:rPr>
        <w:t xml:space="preserve"> σε €1.206εκ.</w:t>
      </w:r>
      <w:r w:rsidR="006F1612">
        <w:rPr>
          <w:rFonts w:eastAsia="Arial"/>
          <w:color w:val="auto"/>
        </w:rPr>
        <w:t>, ενώ</w:t>
      </w:r>
      <w:r>
        <w:rPr>
          <w:rFonts w:eastAsia="Arial"/>
          <w:color w:val="auto"/>
        </w:rPr>
        <w:t xml:space="preserve"> η </w:t>
      </w:r>
      <w:r w:rsidRPr="0022377B">
        <w:rPr>
          <w:rFonts w:eastAsia="Arial"/>
          <w:color w:val="auto"/>
        </w:rPr>
        <w:t>τιμή αναφοράς σε €920εκ</w:t>
      </w:r>
      <w:r w:rsidR="00286F87">
        <w:rPr>
          <w:rFonts w:eastAsia="Arial"/>
          <w:color w:val="auto"/>
        </w:rPr>
        <w:t>.</w:t>
      </w:r>
    </w:p>
    <w:p w14:paraId="2DAB8136" w14:textId="77777777" w:rsidR="000F7B73" w:rsidRPr="0031021E" w:rsidRDefault="000F7B73" w:rsidP="0069577E">
      <w:pPr>
        <w:pStyle w:val="Default"/>
        <w:adjustRightInd/>
        <w:ind w:left="360"/>
        <w:contextualSpacing/>
        <w:jc w:val="both"/>
        <w:rPr>
          <w:rFonts w:eastAsia="Arial"/>
          <w:color w:val="auto"/>
        </w:rPr>
      </w:pPr>
    </w:p>
    <w:p w14:paraId="237A66F7" w14:textId="3E269CE4" w:rsidR="001C72A5" w:rsidRPr="004A6754" w:rsidRDefault="001C72A5" w:rsidP="001C72A5">
      <w:pPr>
        <w:pStyle w:val="Default"/>
        <w:numPr>
          <w:ilvl w:val="0"/>
          <w:numId w:val="4"/>
        </w:numPr>
        <w:adjustRightInd/>
        <w:contextualSpacing/>
        <w:jc w:val="both"/>
        <w:rPr>
          <w:rFonts w:eastAsia="Arial"/>
          <w:b/>
          <w:bCs/>
          <w:color w:val="auto"/>
        </w:rPr>
      </w:pPr>
      <w:r w:rsidRPr="00177030">
        <w:rPr>
          <w:rFonts w:eastAsia="Arial"/>
          <w:b/>
          <w:bCs/>
          <w:color w:val="auto"/>
        </w:rPr>
        <w:t xml:space="preserve">Καταβολή €17,5εκ. </w:t>
      </w:r>
      <w:r w:rsidR="004A6754">
        <w:rPr>
          <w:rFonts w:eastAsia="Arial"/>
          <w:b/>
          <w:bCs/>
          <w:color w:val="auto"/>
        </w:rPr>
        <w:t xml:space="preserve">στις 30 Ιανουαρίου 2026 </w:t>
      </w:r>
      <w:r w:rsidRPr="00177030">
        <w:rPr>
          <w:rFonts w:eastAsia="Arial"/>
          <w:b/>
          <w:bCs/>
          <w:color w:val="auto"/>
        </w:rPr>
        <w:t xml:space="preserve">από την ΚΕΔΙΠΕΣ προς την </w:t>
      </w:r>
      <w:proofErr w:type="spellStart"/>
      <w:r w:rsidRPr="00177030">
        <w:rPr>
          <w:rFonts w:eastAsia="Arial"/>
          <w:b/>
          <w:bCs/>
          <w:color w:val="auto"/>
        </w:rPr>
        <w:t>Eurobank</w:t>
      </w:r>
      <w:proofErr w:type="spellEnd"/>
      <w:r w:rsidRPr="00177030">
        <w:rPr>
          <w:rFonts w:eastAsia="Arial"/>
          <w:b/>
          <w:bCs/>
          <w:color w:val="auto"/>
        </w:rPr>
        <w:t xml:space="preserve"> </w:t>
      </w:r>
      <w:r w:rsidR="004F1A69" w:rsidRPr="004F1A69">
        <w:rPr>
          <w:b/>
          <w:lang w:val="en-GB"/>
        </w:rPr>
        <w:t>Limited</w:t>
      </w:r>
      <w:r w:rsidR="004F1A69" w:rsidRPr="004F1A69" w:rsidDel="004F1A69">
        <w:rPr>
          <w:bCs/>
        </w:rPr>
        <w:t xml:space="preserve"> </w:t>
      </w:r>
      <w:r w:rsidRPr="00177030">
        <w:rPr>
          <w:rFonts w:eastAsia="Arial"/>
          <w:color w:val="auto"/>
        </w:rPr>
        <w:t>σε σχέση με τον τερματισμό του Σχεδίου</w:t>
      </w:r>
      <w:r>
        <w:rPr>
          <w:rFonts w:eastAsia="Arial"/>
          <w:color w:val="auto"/>
        </w:rPr>
        <w:t xml:space="preserve"> και την απώλεια κάλυψης του κινδύνου των εξυπηρετούμενων δανείων</w:t>
      </w:r>
      <w:r w:rsidR="00ED6EA8">
        <w:rPr>
          <w:rFonts w:eastAsia="Arial"/>
          <w:color w:val="auto"/>
        </w:rPr>
        <w:t xml:space="preserve"> κάτω από το Σχέδιο που παραμένουν στην </w:t>
      </w:r>
      <w:r w:rsidR="00ED6EA8">
        <w:rPr>
          <w:rFonts w:eastAsia="Arial"/>
          <w:color w:val="auto"/>
          <w:lang w:val="en-US"/>
        </w:rPr>
        <w:t>Eurobank</w:t>
      </w:r>
      <w:r w:rsidR="00ED6EA8" w:rsidRPr="00260362">
        <w:rPr>
          <w:rFonts w:eastAsia="Arial"/>
          <w:color w:val="auto"/>
        </w:rPr>
        <w:t xml:space="preserve"> </w:t>
      </w:r>
      <w:r w:rsidR="00ED6EA8">
        <w:rPr>
          <w:rFonts w:eastAsia="Arial"/>
          <w:color w:val="auto"/>
          <w:lang w:val="en-US"/>
        </w:rPr>
        <w:t>Limited</w:t>
      </w:r>
      <w:r w:rsidRPr="00177030">
        <w:rPr>
          <w:rFonts w:eastAsia="Arial"/>
          <w:color w:val="auto"/>
        </w:rPr>
        <w:t>.</w:t>
      </w:r>
    </w:p>
    <w:p w14:paraId="41D8CDFE" w14:textId="54173DE0" w:rsidR="00FC1CFF" w:rsidRPr="00636871" w:rsidRDefault="00FC1CFF" w:rsidP="00636871">
      <w:pPr>
        <w:pStyle w:val="ListParagraph"/>
        <w:rPr>
          <w:rFonts w:eastAsia="Arial"/>
          <w:lang w:val="el-GR"/>
        </w:rPr>
      </w:pPr>
    </w:p>
    <w:p w14:paraId="43C18089" w14:textId="77777777" w:rsidR="00FC1CFF" w:rsidRPr="00177030" w:rsidRDefault="00FC1CFF" w:rsidP="00FC1CFF">
      <w:pPr>
        <w:pStyle w:val="Default"/>
        <w:numPr>
          <w:ilvl w:val="0"/>
          <w:numId w:val="4"/>
        </w:numPr>
        <w:adjustRightInd/>
        <w:contextualSpacing/>
        <w:jc w:val="both"/>
        <w:rPr>
          <w:rFonts w:eastAsia="Arial"/>
          <w:b/>
          <w:bCs/>
          <w:color w:val="auto"/>
        </w:rPr>
      </w:pPr>
      <w:r w:rsidRPr="00177030">
        <w:rPr>
          <w:rFonts w:eastAsia="Arial"/>
          <w:b/>
          <w:bCs/>
          <w:color w:val="auto"/>
        </w:rPr>
        <w:lastRenderedPageBreak/>
        <w:t xml:space="preserve">Οριστικοποίηση των πληρωμών </w:t>
      </w:r>
      <w:r>
        <w:rPr>
          <w:rFonts w:eastAsia="Arial"/>
          <w:b/>
          <w:bCs/>
          <w:color w:val="auto"/>
        </w:rPr>
        <w:t xml:space="preserve">που έχουν ήδη πραγματοποιηθεί </w:t>
      </w:r>
      <w:r w:rsidRPr="00177030">
        <w:rPr>
          <w:rFonts w:eastAsia="Arial"/>
          <w:b/>
          <w:bCs/>
          <w:color w:val="auto"/>
        </w:rPr>
        <w:t>στ</w:t>
      </w:r>
      <w:r>
        <w:rPr>
          <w:rFonts w:eastAsia="Arial"/>
          <w:b/>
          <w:bCs/>
          <w:color w:val="auto"/>
        </w:rPr>
        <w:t>ο</w:t>
      </w:r>
      <w:r w:rsidRPr="00177030">
        <w:rPr>
          <w:rFonts w:eastAsia="Arial"/>
          <w:b/>
          <w:bCs/>
          <w:color w:val="auto"/>
        </w:rPr>
        <w:t xml:space="preserve"> πλαίσι</w:t>
      </w:r>
      <w:r>
        <w:rPr>
          <w:rFonts w:eastAsia="Arial"/>
          <w:b/>
          <w:bCs/>
          <w:color w:val="auto"/>
        </w:rPr>
        <w:t>ο</w:t>
      </w:r>
      <w:r w:rsidRPr="00177030">
        <w:rPr>
          <w:rFonts w:eastAsia="Arial"/>
          <w:b/>
          <w:bCs/>
          <w:color w:val="auto"/>
        </w:rPr>
        <w:t xml:space="preserve"> του Σχεδίου, </w:t>
      </w:r>
      <w:r>
        <w:rPr>
          <w:rFonts w:eastAsia="Arial"/>
          <w:b/>
          <w:bCs/>
          <w:color w:val="auto"/>
        </w:rPr>
        <w:t>ήτοι</w:t>
      </w:r>
      <w:r w:rsidRPr="00177030">
        <w:rPr>
          <w:rFonts w:eastAsia="Arial"/>
          <w:b/>
          <w:bCs/>
          <w:color w:val="auto"/>
        </w:rPr>
        <w:t>:</w:t>
      </w:r>
    </w:p>
    <w:p w14:paraId="716CD7A4" w14:textId="77777777" w:rsidR="00FC1CFF" w:rsidRPr="0031021E" w:rsidRDefault="00FC1CFF" w:rsidP="00FC1CFF">
      <w:pPr>
        <w:pStyle w:val="Default"/>
        <w:adjustRightInd/>
        <w:ind w:left="720"/>
        <w:contextualSpacing/>
        <w:jc w:val="both"/>
        <w:rPr>
          <w:rFonts w:eastAsia="Arial"/>
          <w:color w:val="auto"/>
        </w:rPr>
      </w:pPr>
    </w:p>
    <w:p w14:paraId="7799A08A" w14:textId="0237A260" w:rsidR="00FC1CFF" w:rsidRPr="0031021E" w:rsidRDefault="00FC1CFF" w:rsidP="00FC1CFF">
      <w:pPr>
        <w:pStyle w:val="Default"/>
        <w:numPr>
          <w:ilvl w:val="1"/>
          <w:numId w:val="4"/>
        </w:numPr>
        <w:adjustRightInd/>
        <w:ind w:left="1080"/>
        <w:contextualSpacing/>
        <w:jc w:val="both"/>
        <w:rPr>
          <w:rFonts w:eastAsia="Arial"/>
          <w:color w:val="auto"/>
        </w:rPr>
      </w:pPr>
      <w:r w:rsidRPr="0031021E">
        <w:rPr>
          <w:rFonts w:eastAsia="Arial"/>
          <w:color w:val="auto"/>
        </w:rPr>
        <w:t>Πληρωμές €102,</w:t>
      </w:r>
      <w:r>
        <w:rPr>
          <w:rFonts w:eastAsia="Arial"/>
          <w:color w:val="auto"/>
        </w:rPr>
        <w:t>5</w:t>
      </w:r>
      <w:r w:rsidRPr="0031021E">
        <w:rPr>
          <w:rFonts w:eastAsia="Arial"/>
          <w:color w:val="auto"/>
        </w:rPr>
        <w:t xml:space="preserve">εκ. από την ΚΕΔΙΠΕΣ προς την Ελληνική Τράπεζα σε σχέση με απαιτήσεις που υποβλήθηκαν </w:t>
      </w:r>
      <w:r>
        <w:rPr>
          <w:rFonts w:eastAsia="Arial"/>
          <w:color w:val="auto"/>
        </w:rPr>
        <w:t xml:space="preserve">στο πλαίσιο </w:t>
      </w:r>
      <w:r w:rsidRPr="0031021E">
        <w:rPr>
          <w:rFonts w:eastAsia="Arial"/>
          <w:color w:val="auto"/>
        </w:rPr>
        <w:t>το</w:t>
      </w:r>
      <w:r>
        <w:rPr>
          <w:rFonts w:eastAsia="Arial"/>
          <w:color w:val="auto"/>
        </w:rPr>
        <w:t>υ</w:t>
      </w:r>
      <w:r w:rsidRPr="0031021E">
        <w:rPr>
          <w:rFonts w:eastAsia="Arial"/>
          <w:color w:val="auto"/>
        </w:rPr>
        <w:t xml:space="preserve"> Σχ</w:t>
      </w:r>
      <w:r>
        <w:rPr>
          <w:rFonts w:eastAsia="Arial"/>
          <w:color w:val="auto"/>
        </w:rPr>
        <w:t>ε</w:t>
      </w:r>
      <w:r w:rsidRPr="0031021E">
        <w:rPr>
          <w:rFonts w:eastAsia="Arial"/>
          <w:color w:val="auto"/>
        </w:rPr>
        <w:t>δ</w:t>
      </w:r>
      <w:r>
        <w:rPr>
          <w:rFonts w:eastAsia="Arial"/>
          <w:color w:val="auto"/>
        </w:rPr>
        <w:t>ί</w:t>
      </w:r>
      <w:r w:rsidRPr="0031021E">
        <w:rPr>
          <w:rFonts w:eastAsia="Arial"/>
          <w:color w:val="auto"/>
        </w:rPr>
        <w:t>ο</w:t>
      </w:r>
      <w:r>
        <w:rPr>
          <w:rFonts w:eastAsia="Arial"/>
          <w:color w:val="auto"/>
        </w:rPr>
        <w:t>υ</w:t>
      </w:r>
      <w:r w:rsidRPr="0031021E">
        <w:rPr>
          <w:rFonts w:eastAsia="Arial"/>
          <w:color w:val="auto"/>
        </w:rPr>
        <w:t>.</w:t>
      </w:r>
    </w:p>
    <w:p w14:paraId="5BB0D8F9" w14:textId="066D6DD4" w:rsidR="00FC1CFF" w:rsidRPr="0031021E" w:rsidRDefault="00FC1CFF" w:rsidP="00FC1CFF">
      <w:pPr>
        <w:pStyle w:val="Default"/>
        <w:numPr>
          <w:ilvl w:val="1"/>
          <w:numId w:val="4"/>
        </w:numPr>
        <w:adjustRightInd/>
        <w:ind w:left="1080"/>
        <w:contextualSpacing/>
        <w:jc w:val="both"/>
        <w:rPr>
          <w:rFonts w:eastAsia="Arial"/>
          <w:color w:val="auto"/>
        </w:rPr>
      </w:pPr>
      <w:r w:rsidRPr="0031021E">
        <w:rPr>
          <w:rFonts w:eastAsia="Arial"/>
          <w:color w:val="auto"/>
        </w:rPr>
        <w:t>Πληρωμές €4</w:t>
      </w:r>
      <w:r>
        <w:rPr>
          <w:rFonts w:eastAsia="Arial"/>
          <w:color w:val="auto"/>
        </w:rPr>
        <w:t>6</w:t>
      </w:r>
      <w:r w:rsidRPr="0031021E">
        <w:rPr>
          <w:rFonts w:eastAsia="Arial"/>
          <w:color w:val="auto"/>
        </w:rPr>
        <w:t>,1εκ.</w:t>
      </w:r>
      <w:r w:rsidRPr="001C72A5">
        <w:rPr>
          <w:rFonts w:eastAsia="Arial"/>
          <w:color w:val="auto"/>
        </w:rPr>
        <w:t xml:space="preserve"> </w:t>
      </w:r>
      <w:r w:rsidRPr="0031021E">
        <w:rPr>
          <w:rFonts w:eastAsia="Arial"/>
          <w:color w:val="auto"/>
        </w:rPr>
        <w:t>από την Ελληνική Τράπεζα προς την Κυπριακή Δημοκρατία ως εγγυήτρια</w:t>
      </w:r>
      <w:r>
        <w:rPr>
          <w:rFonts w:eastAsia="Arial"/>
          <w:color w:val="auto"/>
        </w:rPr>
        <w:t>ς</w:t>
      </w:r>
      <w:r w:rsidRPr="0031021E">
        <w:rPr>
          <w:rFonts w:eastAsia="Arial"/>
          <w:color w:val="auto"/>
        </w:rPr>
        <w:t xml:space="preserve"> του Σχεδίου. </w:t>
      </w:r>
    </w:p>
    <w:p w14:paraId="0A88EC2A" w14:textId="77777777" w:rsidR="00FC1CFF" w:rsidRDefault="00FC1CFF" w:rsidP="00636871">
      <w:pPr>
        <w:pStyle w:val="Default"/>
        <w:adjustRightInd/>
        <w:ind w:left="720"/>
        <w:contextualSpacing/>
        <w:jc w:val="both"/>
        <w:rPr>
          <w:rFonts w:eastAsia="Arial"/>
          <w:color w:val="auto"/>
        </w:rPr>
      </w:pPr>
    </w:p>
    <w:p w14:paraId="09CB03DD" w14:textId="77777777" w:rsidR="00177030" w:rsidRPr="0069577E" w:rsidRDefault="00177030" w:rsidP="00177030">
      <w:pPr>
        <w:pStyle w:val="Default"/>
        <w:adjustRightInd/>
        <w:ind w:left="360"/>
        <w:contextualSpacing/>
        <w:jc w:val="both"/>
        <w:rPr>
          <w:rFonts w:eastAsia="Arial"/>
          <w:b/>
          <w:bCs/>
          <w:color w:val="auto"/>
        </w:rPr>
      </w:pPr>
    </w:p>
    <w:p w14:paraId="456A0A25" w14:textId="0D46E24E" w:rsidR="00177030" w:rsidRPr="00177030" w:rsidRDefault="0069577E" w:rsidP="00177030">
      <w:pPr>
        <w:pStyle w:val="Default"/>
        <w:numPr>
          <w:ilvl w:val="0"/>
          <w:numId w:val="5"/>
        </w:numPr>
        <w:adjustRightInd/>
        <w:contextualSpacing/>
        <w:jc w:val="both"/>
        <w:rPr>
          <w:rFonts w:eastAsia="Arial"/>
          <w:color w:val="auto"/>
        </w:rPr>
      </w:pPr>
      <w:r>
        <w:rPr>
          <w:rFonts w:eastAsia="Arial"/>
          <w:b/>
          <w:bCs/>
          <w:color w:val="auto"/>
        </w:rPr>
        <w:t xml:space="preserve">Συμφωνία </w:t>
      </w:r>
      <w:r w:rsidR="00987AF6">
        <w:rPr>
          <w:rFonts w:eastAsia="Arial"/>
          <w:b/>
          <w:bCs/>
          <w:color w:val="auto"/>
        </w:rPr>
        <w:t>Ε</w:t>
      </w:r>
      <w:r w:rsidR="000F7B73" w:rsidRPr="0069577E">
        <w:rPr>
          <w:rFonts w:eastAsia="Arial"/>
          <w:b/>
          <w:bCs/>
          <w:color w:val="auto"/>
        </w:rPr>
        <w:t>πανα</w:t>
      </w:r>
      <w:r w:rsidR="000F7B73" w:rsidRPr="00177030">
        <w:rPr>
          <w:rFonts w:eastAsia="Arial"/>
          <w:b/>
          <w:bCs/>
          <w:color w:val="auto"/>
        </w:rPr>
        <w:t>γορά</w:t>
      </w:r>
      <w:r>
        <w:rPr>
          <w:rFonts w:eastAsia="Arial"/>
          <w:b/>
          <w:bCs/>
          <w:color w:val="auto"/>
        </w:rPr>
        <w:t>ς</w:t>
      </w:r>
      <w:r w:rsidR="000F7B73" w:rsidRPr="00177030">
        <w:rPr>
          <w:rFonts w:eastAsia="Arial"/>
          <w:b/>
          <w:bCs/>
          <w:color w:val="auto"/>
        </w:rPr>
        <w:t xml:space="preserve"> </w:t>
      </w:r>
      <w:r w:rsidR="00987AF6">
        <w:rPr>
          <w:rFonts w:eastAsia="Arial"/>
          <w:b/>
          <w:bCs/>
          <w:color w:val="auto"/>
          <w:lang w:val="en-GB"/>
        </w:rPr>
        <w:t>M</w:t>
      </w:r>
      <w:r w:rsidR="000F7B73" w:rsidRPr="00177030">
        <w:rPr>
          <w:rFonts w:eastAsia="Arial"/>
          <w:b/>
          <w:bCs/>
          <w:color w:val="auto"/>
        </w:rPr>
        <w:t>η</w:t>
      </w:r>
      <w:r w:rsidR="005130AD" w:rsidRPr="00177030">
        <w:rPr>
          <w:rFonts w:eastAsia="Arial"/>
          <w:b/>
          <w:bCs/>
          <w:color w:val="auto"/>
        </w:rPr>
        <w:t>-</w:t>
      </w:r>
      <w:r w:rsidR="000F7B73" w:rsidRPr="00177030">
        <w:rPr>
          <w:rFonts w:eastAsia="Arial"/>
          <w:b/>
          <w:bCs/>
          <w:color w:val="auto"/>
        </w:rPr>
        <w:t xml:space="preserve">εξυπηρετούμενων </w:t>
      </w:r>
      <w:r w:rsidR="00987AF6">
        <w:rPr>
          <w:rFonts w:eastAsia="Arial"/>
          <w:b/>
          <w:bCs/>
          <w:color w:val="auto"/>
        </w:rPr>
        <w:t>Δ</w:t>
      </w:r>
      <w:r w:rsidR="000F7B73" w:rsidRPr="00177030">
        <w:rPr>
          <w:rFonts w:eastAsia="Arial"/>
          <w:b/>
          <w:bCs/>
          <w:color w:val="auto"/>
        </w:rPr>
        <w:t>ανείων</w:t>
      </w:r>
    </w:p>
    <w:p w14:paraId="5094D643" w14:textId="77777777" w:rsidR="00FF5ADD" w:rsidRDefault="00FF5ADD" w:rsidP="00FF5ADD">
      <w:pPr>
        <w:pStyle w:val="Default"/>
        <w:adjustRightInd/>
        <w:ind w:left="360"/>
        <w:contextualSpacing/>
        <w:jc w:val="both"/>
        <w:rPr>
          <w:rFonts w:eastAsia="Arial"/>
          <w:color w:val="auto"/>
        </w:rPr>
      </w:pPr>
    </w:p>
    <w:p w14:paraId="732B0FE0" w14:textId="5891BAAB" w:rsidR="00987AF6" w:rsidRPr="00177030" w:rsidRDefault="00987AF6" w:rsidP="00987AF6">
      <w:pPr>
        <w:pStyle w:val="Default"/>
        <w:numPr>
          <w:ilvl w:val="0"/>
          <w:numId w:val="4"/>
        </w:numPr>
        <w:adjustRightInd/>
        <w:contextualSpacing/>
        <w:jc w:val="both"/>
        <w:rPr>
          <w:rFonts w:eastAsia="Arial"/>
          <w:b/>
          <w:bCs/>
          <w:color w:val="auto"/>
        </w:rPr>
      </w:pPr>
      <w:r>
        <w:rPr>
          <w:rFonts w:eastAsia="Arial"/>
          <w:b/>
          <w:bCs/>
          <w:color w:val="auto"/>
        </w:rPr>
        <w:t xml:space="preserve">Συμφωνία επαναγοράς από την ΚΕΔΙΠΕΣ μη-εξυπηρετούμενων δανείων που ήταν ενταγμένα στο Σχέδιο στις </w:t>
      </w:r>
      <w:r w:rsidRPr="00177030">
        <w:rPr>
          <w:rFonts w:eastAsia="Arial"/>
          <w:b/>
          <w:bCs/>
          <w:color w:val="auto"/>
        </w:rPr>
        <w:t xml:space="preserve">30 Σεπτεμβρίου 2024. </w:t>
      </w:r>
    </w:p>
    <w:p w14:paraId="00B011A7" w14:textId="77777777" w:rsidR="00987AF6" w:rsidRDefault="00987AF6" w:rsidP="00177030">
      <w:pPr>
        <w:pStyle w:val="Default"/>
        <w:adjustRightInd/>
        <w:ind w:left="360"/>
        <w:contextualSpacing/>
        <w:jc w:val="both"/>
        <w:rPr>
          <w:rFonts w:eastAsia="Arial"/>
          <w:color w:val="auto"/>
        </w:rPr>
      </w:pPr>
    </w:p>
    <w:p w14:paraId="3837E692" w14:textId="38C1DFB6" w:rsidR="000F7B73" w:rsidRDefault="000A64CC" w:rsidP="001C72A5">
      <w:pPr>
        <w:pStyle w:val="Default"/>
        <w:adjustRightInd/>
        <w:ind w:left="720"/>
        <w:contextualSpacing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Όπως έχει </w:t>
      </w:r>
      <w:r w:rsidR="00E04F7D">
        <w:rPr>
          <w:rFonts w:eastAsia="Arial"/>
          <w:color w:val="auto"/>
        </w:rPr>
        <w:t xml:space="preserve">ήδη </w:t>
      </w:r>
      <w:r>
        <w:rPr>
          <w:rFonts w:eastAsia="Arial"/>
          <w:color w:val="auto"/>
        </w:rPr>
        <w:t>ανακοινωθεί, κ</w:t>
      </w:r>
      <w:r w:rsidR="00177030" w:rsidRPr="00177030">
        <w:rPr>
          <w:rFonts w:eastAsia="Arial"/>
          <w:color w:val="auto"/>
        </w:rPr>
        <w:t>ατά την ημ</w:t>
      </w:r>
      <w:r w:rsidR="00177030">
        <w:rPr>
          <w:rFonts w:eastAsia="Arial"/>
          <w:color w:val="auto"/>
        </w:rPr>
        <w:t>ε</w:t>
      </w:r>
      <w:r w:rsidR="00177030" w:rsidRPr="00177030">
        <w:rPr>
          <w:rFonts w:eastAsia="Arial"/>
          <w:color w:val="auto"/>
        </w:rPr>
        <w:t>ρομηνία αναφοράς</w:t>
      </w:r>
      <w:r w:rsidR="0069577E">
        <w:rPr>
          <w:rFonts w:eastAsia="Arial"/>
          <w:color w:val="auto"/>
        </w:rPr>
        <w:t xml:space="preserve"> της συμφωνίας επαναγοράς</w:t>
      </w:r>
      <w:r w:rsidR="00E41766">
        <w:rPr>
          <w:rFonts w:eastAsia="Arial"/>
          <w:color w:val="auto"/>
        </w:rPr>
        <w:t>, ήτοι την</w:t>
      </w:r>
      <w:r w:rsidR="00177030" w:rsidRPr="00177030">
        <w:rPr>
          <w:rFonts w:eastAsia="Arial"/>
          <w:color w:val="auto"/>
        </w:rPr>
        <w:t xml:space="preserve"> 30</w:t>
      </w:r>
      <w:r w:rsidR="00E41766">
        <w:rPr>
          <w:rFonts w:eastAsia="Arial"/>
          <w:color w:val="auto"/>
        </w:rPr>
        <w:t>ή</w:t>
      </w:r>
      <w:r w:rsidR="00A52945">
        <w:rPr>
          <w:rFonts w:eastAsia="Arial"/>
          <w:color w:val="auto"/>
        </w:rPr>
        <w:t xml:space="preserve"> Σεπτεμβρίου </w:t>
      </w:r>
      <w:r w:rsidR="00177030" w:rsidRPr="00177030">
        <w:rPr>
          <w:rFonts w:eastAsia="Arial"/>
          <w:color w:val="auto"/>
        </w:rPr>
        <w:t xml:space="preserve">2024, </w:t>
      </w:r>
      <w:r w:rsidR="00177030">
        <w:rPr>
          <w:rFonts w:eastAsia="Arial"/>
          <w:color w:val="auto"/>
        </w:rPr>
        <w:t xml:space="preserve">το σχετικό χαρτοφυλάκιο αποτελείτο από δάνεια </w:t>
      </w:r>
      <w:r w:rsidR="000F7B73" w:rsidRPr="00177030">
        <w:rPr>
          <w:rFonts w:eastAsia="Arial"/>
          <w:color w:val="auto"/>
        </w:rPr>
        <w:t>με συμβατική αξία €36</w:t>
      </w:r>
      <w:r w:rsidR="005908FE" w:rsidRPr="00177030">
        <w:rPr>
          <w:rFonts w:eastAsia="Arial"/>
          <w:color w:val="auto"/>
        </w:rPr>
        <w:t>1</w:t>
      </w:r>
      <w:r w:rsidR="000F7B73" w:rsidRPr="00177030">
        <w:rPr>
          <w:rFonts w:eastAsia="Arial"/>
          <w:color w:val="auto"/>
        </w:rPr>
        <w:t>εκ</w:t>
      </w:r>
      <w:r w:rsidR="00286F87" w:rsidRPr="00177030">
        <w:rPr>
          <w:rFonts w:eastAsia="Arial"/>
          <w:color w:val="auto"/>
        </w:rPr>
        <w:t>.</w:t>
      </w:r>
      <w:r w:rsidR="0069577E">
        <w:rPr>
          <w:rFonts w:eastAsia="Arial"/>
          <w:color w:val="auto"/>
        </w:rPr>
        <w:t xml:space="preserve"> </w:t>
      </w:r>
      <w:r w:rsidR="00E41766">
        <w:rPr>
          <w:rFonts w:eastAsia="Arial"/>
          <w:color w:val="auto"/>
        </w:rPr>
        <w:t>ενώ</w:t>
      </w:r>
      <w:r w:rsidR="0069577E">
        <w:rPr>
          <w:rFonts w:eastAsia="Arial"/>
          <w:color w:val="auto"/>
        </w:rPr>
        <w:t xml:space="preserve"> η </w:t>
      </w:r>
      <w:r w:rsidR="00B35C2A">
        <w:rPr>
          <w:rFonts w:eastAsia="Arial"/>
          <w:color w:val="auto"/>
        </w:rPr>
        <w:t xml:space="preserve">αρχική </w:t>
      </w:r>
      <w:r w:rsidR="0069577E">
        <w:rPr>
          <w:rFonts w:eastAsia="Arial"/>
          <w:color w:val="auto"/>
        </w:rPr>
        <w:t xml:space="preserve">τιμή αγοράς </w:t>
      </w:r>
      <w:r>
        <w:rPr>
          <w:rFonts w:eastAsia="Arial"/>
          <w:color w:val="auto"/>
        </w:rPr>
        <w:t>καθορίστηκε σε</w:t>
      </w:r>
      <w:r w:rsidR="0069577E">
        <w:rPr>
          <w:rFonts w:eastAsia="Arial"/>
          <w:color w:val="auto"/>
        </w:rPr>
        <w:t xml:space="preserve"> </w:t>
      </w:r>
      <w:r w:rsidR="000F7B73" w:rsidRPr="00177030">
        <w:rPr>
          <w:rFonts w:eastAsia="Arial"/>
          <w:color w:val="auto"/>
        </w:rPr>
        <w:t>€18</w:t>
      </w:r>
      <w:r w:rsidR="005908FE" w:rsidRPr="00177030">
        <w:rPr>
          <w:rFonts w:eastAsia="Arial"/>
          <w:color w:val="auto"/>
        </w:rPr>
        <w:t>0</w:t>
      </w:r>
      <w:r w:rsidR="000F7B73" w:rsidRPr="00177030">
        <w:rPr>
          <w:rFonts w:eastAsia="Arial"/>
          <w:color w:val="auto"/>
        </w:rPr>
        <w:t>,2εκ</w:t>
      </w:r>
      <w:r w:rsidR="000F7B73" w:rsidRPr="0031021E">
        <w:rPr>
          <w:rFonts w:eastAsia="Arial"/>
          <w:color w:val="auto"/>
        </w:rPr>
        <w:t>.</w:t>
      </w:r>
      <w:r w:rsidR="0069577E">
        <w:rPr>
          <w:rFonts w:eastAsia="Arial"/>
          <w:color w:val="auto"/>
        </w:rPr>
        <w:t xml:space="preserve"> </w:t>
      </w:r>
      <w:r w:rsidR="000F7B73" w:rsidRPr="0031021E">
        <w:rPr>
          <w:rFonts w:eastAsia="Arial"/>
          <w:color w:val="auto"/>
        </w:rPr>
        <w:t>Τα δάνεια αφορού</w:t>
      </w:r>
      <w:r w:rsidR="0069577E">
        <w:rPr>
          <w:rFonts w:eastAsia="Arial"/>
          <w:color w:val="auto"/>
        </w:rPr>
        <w:t>σα</w:t>
      </w:r>
      <w:r w:rsidR="000F7B73" w:rsidRPr="0031021E">
        <w:rPr>
          <w:rFonts w:eastAsia="Arial"/>
          <w:color w:val="auto"/>
        </w:rPr>
        <w:t xml:space="preserve">ν </w:t>
      </w:r>
      <w:r w:rsidR="000E1F01" w:rsidRPr="0031021E">
        <w:rPr>
          <w:rFonts w:eastAsia="Arial"/>
          <w:color w:val="auto"/>
        </w:rPr>
        <w:t xml:space="preserve">κυρίως </w:t>
      </w:r>
      <w:r w:rsidR="000F7B73" w:rsidRPr="0031021E">
        <w:rPr>
          <w:rFonts w:eastAsia="Arial"/>
          <w:color w:val="auto"/>
        </w:rPr>
        <w:t xml:space="preserve">χαρτοφυλάκιο λιανικής τραπεζικής </w:t>
      </w:r>
      <w:r w:rsidR="006534D4" w:rsidRPr="0031021E">
        <w:rPr>
          <w:rFonts w:eastAsia="Arial"/>
          <w:color w:val="auto"/>
        </w:rPr>
        <w:t xml:space="preserve">με υψηλή κάλυψη από </w:t>
      </w:r>
      <w:r w:rsidR="00AD6D21" w:rsidRPr="0031021E">
        <w:rPr>
          <w:rFonts w:eastAsia="Arial"/>
          <w:color w:val="auto"/>
        </w:rPr>
        <w:t xml:space="preserve">πρώτες </w:t>
      </w:r>
      <w:r w:rsidR="00D9151A" w:rsidRPr="0031021E">
        <w:rPr>
          <w:rFonts w:eastAsia="Arial"/>
          <w:color w:val="auto"/>
        </w:rPr>
        <w:t xml:space="preserve">υποθήκες </w:t>
      </w:r>
      <w:r w:rsidR="00E41766">
        <w:rPr>
          <w:rFonts w:eastAsia="Arial"/>
          <w:color w:val="auto"/>
        </w:rPr>
        <w:t xml:space="preserve">συνολικού </w:t>
      </w:r>
      <w:r w:rsidR="000E1F01" w:rsidRPr="0031021E">
        <w:rPr>
          <w:rFonts w:eastAsia="Arial"/>
          <w:color w:val="auto"/>
        </w:rPr>
        <w:t>ύψους €</w:t>
      </w:r>
      <w:r w:rsidR="00D9151A" w:rsidRPr="0031021E">
        <w:rPr>
          <w:rFonts w:eastAsia="Arial"/>
          <w:color w:val="auto"/>
        </w:rPr>
        <w:t>55</w:t>
      </w:r>
      <w:r w:rsidR="006B4321" w:rsidRPr="00673F62">
        <w:rPr>
          <w:rFonts w:eastAsia="Arial"/>
          <w:color w:val="auto"/>
        </w:rPr>
        <w:t>3</w:t>
      </w:r>
      <w:r w:rsidR="00D9151A" w:rsidRPr="0031021E">
        <w:rPr>
          <w:rFonts w:eastAsia="Arial"/>
          <w:color w:val="auto"/>
        </w:rPr>
        <w:t>εκ</w:t>
      </w:r>
      <w:r w:rsidR="006534D4" w:rsidRPr="0031021E">
        <w:rPr>
          <w:rFonts w:eastAsia="Arial"/>
          <w:color w:val="auto"/>
        </w:rPr>
        <w:t>.</w:t>
      </w:r>
    </w:p>
    <w:p w14:paraId="766BC05D" w14:textId="77777777" w:rsidR="00707791" w:rsidRDefault="00707791" w:rsidP="00177030">
      <w:pPr>
        <w:pStyle w:val="Default"/>
        <w:adjustRightInd/>
        <w:ind w:left="360"/>
        <w:contextualSpacing/>
        <w:jc w:val="both"/>
        <w:rPr>
          <w:rFonts w:eastAsia="Arial"/>
          <w:color w:val="auto"/>
        </w:rPr>
      </w:pPr>
    </w:p>
    <w:p w14:paraId="594D6B00" w14:textId="6A713C9C" w:rsidR="0069577E" w:rsidRDefault="0069577E" w:rsidP="001C72A5">
      <w:pPr>
        <w:pStyle w:val="Default"/>
        <w:adjustRightInd/>
        <w:ind w:left="720"/>
        <w:contextualSpacing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Η </w:t>
      </w:r>
      <w:r w:rsidR="0060266D">
        <w:rPr>
          <w:rFonts w:eastAsia="Arial"/>
          <w:color w:val="auto"/>
        </w:rPr>
        <w:t xml:space="preserve">προσαρμοσμένη </w:t>
      </w:r>
      <w:r>
        <w:rPr>
          <w:rFonts w:eastAsia="Arial"/>
          <w:color w:val="auto"/>
        </w:rPr>
        <w:t>τιμή αγοράς</w:t>
      </w:r>
      <w:r w:rsidR="00763678">
        <w:rPr>
          <w:rFonts w:eastAsia="Arial"/>
          <w:color w:val="auto"/>
        </w:rPr>
        <w:t xml:space="preserve"> στις 31 Δεκεμβρίου 2025</w:t>
      </w:r>
      <w:r>
        <w:rPr>
          <w:rFonts w:eastAsia="Arial"/>
          <w:color w:val="auto"/>
        </w:rPr>
        <w:t xml:space="preserve"> </w:t>
      </w:r>
      <w:r w:rsidR="00763678">
        <w:rPr>
          <w:rFonts w:eastAsia="Arial"/>
          <w:color w:val="auto"/>
        </w:rPr>
        <w:t>ανήλθε στα €110,0εκ.</w:t>
      </w:r>
      <w:r w:rsidR="00C4527D">
        <w:rPr>
          <w:rStyle w:val="FootnoteReference"/>
          <w:rFonts w:eastAsia="Arial"/>
          <w:color w:val="auto"/>
        </w:rPr>
        <w:footnoteReference w:id="2"/>
      </w:r>
      <w:r w:rsidR="001C72A5">
        <w:rPr>
          <w:rFonts w:eastAsia="Arial"/>
          <w:color w:val="auto"/>
        </w:rPr>
        <w:t xml:space="preserve"> </w:t>
      </w:r>
      <w:r w:rsidR="00966CDF">
        <w:rPr>
          <w:rFonts w:eastAsia="Arial"/>
          <w:color w:val="auto"/>
        </w:rPr>
        <w:t xml:space="preserve">ενώ η </w:t>
      </w:r>
      <w:r w:rsidR="001C72A5" w:rsidRPr="00177030">
        <w:rPr>
          <w:rFonts w:eastAsia="Arial"/>
          <w:color w:val="auto"/>
        </w:rPr>
        <w:t xml:space="preserve">συμβατική αξία </w:t>
      </w:r>
      <w:r w:rsidR="00966CDF">
        <w:rPr>
          <w:rFonts w:eastAsia="Arial"/>
          <w:color w:val="auto"/>
        </w:rPr>
        <w:t xml:space="preserve">των δανείων διαμορφώθηκε σε </w:t>
      </w:r>
      <w:r w:rsidR="001C72A5" w:rsidRPr="00177030">
        <w:rPr>
          <w:rFonts w:eastAsia="Arial"/>
          <w:color w:val="auto"/>
        </w:rPr>
        <w:t>€</w:t>
      </w:r>
      <w:r w:rsidR="004A6754">
        <w:rPr>
          <w:rFonts w:eastAsia="Arial"/>
          <w:color w:val="auto"/>
        </w:rPr>
        <w:t>287</w:t>
      </w:r>
      <w:r w:rsidR="001C72A5" w:rsidRPr="00177030">
        <w:rPr>
          <w:rFonts w:eastAsia="Arial"/>
          <w:color w:val="auto"/>
        </w:rPr>
        <w:t>εκ</w:t>
      </w:r>
      <w:r w:rsidR="00763678">
        <w:rPr>
          <w:rFonts w:eastAsia="Arial"/>
          <w:color w:val="auto"/>
        </w:rPr>
        <w:t>.</w:t>
      </w:r>
      <w:r>
        <w:rPr>
          <w:rFonts w:eastAsia="Arial"/>
          <w:color w:val="auto"/>
        </w:rPr>
        <w:t xml:space="preserve"> Η μείωση </w:t>
      </w:r>
      <w:r w:rsidR="00E04F7D">
        <w:rPr>
          <w:rFonts w:eastAsia="Arial"/>
          <w:color w:val="auto"/>
        </w:rPr>
        <w:t xml:space="preserve">σε σχέση με </w:t>
      </w:r>
      <w:r>
        <w:rPr>
          <w:rFonts w:eastAsia="Arial"/>
          <w:color w:val="auto"/>
        </w:rPr>
        <w:t xml:space="preserve">την </w:t>
      </w:r>
      <w:r w:rsidR="0060266D">
        <w:rPr>
          <w:rFonts w:eastAsia="Arial"/>
          <w:color w:val="auto"/>
        </w:rPr>
        <w:t xml:space="preserve">αρχική </w:t>
      </w:r>
      <w:r>
        <w:rPr>
          <w:rFonts w:eastAsia="Arial"/>
          <w:color w:val="auto"/>
        </w:rPr>
        <w:t xml:space="preserve">τιμή αγοράς οφείλεται στις πολύ καλές </w:t>
      </w:r>
      <w:r w:rsidR="00486C25">
        <w:rPr>
          <w:rFonts w:eastAsia="Arial"/>
          <w:color w:val="auto"/>
        </w:rPr>
        <w:t xml:space="preserve">ταμειακές εισροές </w:t>
      </w:r>
      <w:r w:rsidR="0060266D">
        <w:rPr>
          <w:rFonts w:eastAsia="Arial"/>
          <w:color w:val="auto"/>
        </w:rPr>
        <w:t xml:space="preserve">του χαρτοφυλακίου </w:t>
      </w:r>
      <w:r>
        <w:rPr>
          <w:rFonts w:eastAsia="Arial"/>
          <w:color w:val="auto"/>
        </w:rPr>
        <w:t>μετά την ημερομηνία αναφοράς</w:t>
      </w:r>
      <w:r w:rsidR="00E04F7D">
        <w:rPr>
          <w:rFonts w:eastAsia="Arial"/>
          <w:color w:val="auto"/>
        </w:rPr>
        <w:t>,</w:t>
      </w:r>
      <w:r>
        <w:rPr>
          <w:rFonts w:eastAsia="Arial"/>
          <w:color w:val="auto"/>
        </w:rPr>
        <w:t xml:space="preserve"> </w:t>
      </w:r>
      <w:r w:rsidR="0060266D">
        <w:rPr>
          <w:rFonts w:eastAsia="Arial"/>
          <w:color w:val="auto"/>
        </w:rPr>
        <w:t xml:space="preserve">οι οποίες αφαιρούνται από την </w:t>
      </w:r>
      <w:r w:rsidR="00B35C2A">
        <w:rPr>
          <w:rFonts w:eastAsia="Arial"/>
          <w:color w:val="auto"/>
        </w:rPr>
        <w:t xml:space="preserve">αρχική </w:t>
      </w:r>
      <w:r w:rsidR="0060266D">
        <w:rPr>
          <w:rFonts w:eastAsia="Arial"/>
          <w:color w:val="auto"/>
        </w:rPr>
        <w:t>τιμή αγοράς.</w:t>
      </w:r>
    </w:p>
    <w:p w14:paraId="039CDA63" w14:textId="77777777" w:rsidR="0060266D" w:rsidRDefault="0060266D" w:rsidP="0069577E">
      <w:pPr>
        <w:pStyle w:val="Default"/>
        <w:adjustRightInd/>
        <w:ind w:left="360"/>
        <w:contextualSpacing/>
        <w:jc w:val="both"/>
        <w:rPr>
          <w:rFonts w:eastAsia="Arial"/>
          <w:color w:val="auto"/>
        </w:rPr>
      </w:pPr>
    </w:p>
    <w:p w14:paraId="536B3146" w14:textId="49CE9678" w:rsidR="0060266D" w:rsidRDefault="0060266D" w:rsidP="001C72A5">
      <w:pPr>
        <w:pStyle w:val="Default"/>
        <w:adjustRightInd/>
        <w:ind w:left="720"/>
        <w:contextualSpacing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Η εξόφληση της προσαρμοσμένης τιμή αγοράς θα ολοκληρωθεί σταδιακά μέχρι τον Οκτώβριο 2026</w:t>
      </w:r>
      <w:r w:rsidR="00C925B0">
        <w:rPr>
          <w:rFonts w:eastAsia="Arial"/>
          <w:color w:val="auto"/>
        </w:rPr>
        <w:t xml:space="preserve"> ενώ μέχρι σήμερα έχει καταβληθεί ποσό €27εκ</w:t>
      </w:r>
      <w:r>
        <w:rPr>
          <w:rFonts w:eastAsia="Arial"/>
          <w:color w:val="auto"/>
        </w:rPr>
        <w:t>.</w:t>
      </w:r>
      <w:r w:rsidR="00C925B0">
        <w:rPr>
          <w:rFonts w:eastAsia="Arial"/>
          <w:color w:val="auto"/>
        </w:rPr>
        <w:t xml:space="preserve"> με την υπογραφή των σχετικών συμφωνιών.</w:t>
      </w:r>
      <w:r>
        <w:rPr>
          <w:rFonts w:eastAsia="Arial"/>
          <w:color w:val="auto"/>
        </w:rPr>
        <w:t xml:space="preserve"> </w:t>
      </w:r>
    </w:p>
    <w:p w14:paraId="3FDCCBAE" w14:textId="77777777" w:rsidR="00707791" w:rsidRDefault="00707791" w:rsidP="0069577E">
      <w:pPr>
        <w:pStyle w:val="Default"/>
        <w:adjustRightInd/>
        <w:ind w:left="360"/>
        <w:contextualSpacing/>
        <w:jc w:val="both"/>
        <w:rPr>
          <w:rFonts w:eastAsia="Arial"/>
          <w:color w:val="auto"/>
        </w:rPr>
      </w:pPr>
    </w:p>
    <w:p w14:paraId="1157C36B" w14:textId="62691242" w:rsidR="0060462E" w:rsidRDefault="0060462E" w:rsidP="001C72A5">
      <w:pPr>
        <w:pStyle w:val="Default"/>
        <w:adjustRightInd/>
        <w:ind w:left="720"/>
        <w:contextualSpacing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Η υλοποίηση της επαναγοράς </w:t>
      </w:r>
      <w:r w:rsidR="0074628F">
        <w:rPr>
          <w:rFonts w:eastAsia="Arial"/>
          <w:color w:val="auto"/>
        </w:rPr>
        <w:t>των</w:t>
      </w:r>
      <w:r w:rsidR="00724FCE">
        <w:rPr>
          <w:rFonts w:eastAsia="Arial"/>
          <w:color w:val="auto"/>
        </w:rPr>
        <w:t xml:space="preserve"> </w:t>
      </w:r>
      <w:r w:rsidR="005F0697">
        <w:rPr>
          <w:rFonts w:eastAsia="Arial"/>
          <w:color w:val="auto"/>
        </w:rPr>
        <w:t xml:space="preserve">μη-εξυπηρετούμενων </w:t>
      </w:r>
      <w:r w:rsidR="00724FCE">
        <w:rPr>
          <w:rFonts w:eastAsia="Arial"/>
          <w:color w:val="auto"/>
        </w:rPr>
        <w:t xml:space="preserve">δανείων </w:t>
      </w:r>
      <w:r w:rsidR="00E04F7D">
        <w:rPr>
          <w:rFonts w:eastAsia="Arial"/>
          <w:color w:val="auto"/>
        </w:rPr>
        <w:t xml:space="preserve">πραγματοποιήθηκε </w:t>
      </w:r>
      <w:r>
        <w:rPr>
          <w:rFonts w:eastAsia="Arial"/>
          <w:color w:val="auto"/>
        </w:rPr>
        <w:t xml:space="preserve">μέσω της απόκτησης από την ΚΕΔΙΠΕΣ του 100% του μετοχικού κεφαλαίου της εταιρείας </w:t>
      </w:r>
      <w:r>
        <w:rPr>
          <w:rFonts w:eastAsia="Arial"/>
          <w:color w:val="auto"/>
          <w:lang w:val="en-GB"/>
        </w:rPr>
        <w:t>Creditum</w:t>
      </w:r>
      <w:r w:rsidRPr="00707791">
        <w:rPr>
          <w:rFonts w:eastAsia="Arial"/>
          <w:color w:val="auto"/>
        </w:rPr>
        <w:t xml:space="preserve"> </w:t>
      </w:r>
      <w:r>
        <w:rPr>
          <w:rFonts w:eastAsia="Arial"/>
          <w:color w:val="auto"/>
          <w:lang w:val="en-GB"/>
        </w:rPr>
        <w:t>Holdings</w:t>
      </w:r>
      <w:r w:rsidRPr="00707791">
        <w:rPr>
          <w:rFonts w:eastAsia="Arial"/>
          <w:color w:val="auto"/>
        </w:rPr>
        <w:t xml:space="preserve"> </w:t>
      </w:r>
      <w:r>
        <w:rPr>
          <w:rFonts w:eastAsia="Arial"/>
          <w:color w:val="auto"/>
          <w:lang w:val="en-GB"/>
        </w:rPr>
        <w:t>Ltd</w:t>
      </w:r>
      <w:r w:rsidR="00E04F7D">
        <w:rPr>
          <w:rFonts w:eastAsia="Arial"/>
          <w:color w:val="auto"/>
        </w:rPr>
        <w:t>,</w:t>
      </w:r>
      <w:r>
        <w:rPr>
          <w:rFonts w:eastAsia="Arial"/>
          <w:color w:val="auto"/>
        </w:rPr>
        <w:t xml:space="preserve"> στην οποία </w:t>
      </w:r>
      <w:r w:rsidR="00724FCE">
        <w:rPr>
          <w:rFonts w:eastAsia="Arial"/>
          <w:color w:val="auto"/>
        </w:rPr>
        <w:t xml:space="preserve">είχαν </w:t>
      </w:r>
      <w:r>
        <w:rPr>
          <w:rFonts w:eastAsia="Arial"/>
          <w:color w:val="auto"/>
        </w:rPr>
        <w:t>προηγουμένως μεταφερθεί τα δάνεια</w:t>
      </w:r>
      <w:r w:rsidRPr="00707791">
        <w:rPr>
          <w:rFonts w:eastAsia="Arial"/>
          <w:color w:val="auto"/>
        </w:rPr>
        <w:t>.</w:t>
      </w:r>
    </w:p>
    <w:p w14:paraId="1D7438F7" w14:textId="77777777" w:rsidR="0060462E" w:rsidRPr="00707791" w:rsidRDefault="0060462E" w:rsidP="0060462E">
      <w:pPr>
        <w:pStyle w:val="Default"/>
        <w:adjustRightInd/>
        <w:ind w:left="360"/>
        <w:contextualSpacing/>
        <w:jc w:val="both"/>
        <w:rPr>
          <w:rFonts w:eastAsia="Arial"/>
          <w:color w:val="auto"/>
        </w:rPr>
      </w:pPr>
    </w:p>
    <w:p w14:paraId="7840E740" w14:textId="1CED13D3" w:rsidR="006A6523" w:rsidRPr="00987AF6" w:rsidRDefault="006A6523" w:rsidP="00EA20C3">
      <w:pPr>
        <w:pStyle w:val="Default"/>
        <w:numPr>
          <w:ilvl w:val="0"/>
          <w:numId w:val="5"/>
        </w:numPr>
        <w:adjustRightInd/>
        <w:contextualSpacing/>
        <w:jc w:val="both"/>
        <w:rPr>
          <w:rFonts w:eastAsia="Arial"/>
          <w:color w:val="auto"/>
        </w:rPr>
      </w:pPr>
      <w:r w:rsidRPr="006A6523">
        <w:rPr>
          <w:rFonts w:eastAsia="Arial"/>
          <w:b/>
          <w:bCs/>
          <w:color w:val="auto"/>
        </w:rPr>
        <w:t>Συμφωνία</w:t>
      </w:r>
      <w:r w:rsidRPr="00987AF6">
        <w:rPr>
          <w:rFonts w:eastAsia="Arial"/>
          <w:b/>
          <w:bCs/>
          <w:color w:val="auto"/>
        </w:rPr>
        <w:t xml:space="preserve"> </w:t>
      </w:r>
      <w:r w:rsidR="00987AF6">
        <w:rPr>
          <w:rFonts w:eastAsia="Arial"/>
          <w:b/>
          <w:bCs/>
          <w:color w:val="auto"/>
        </w:rPr>
        <w:t xml:space="preserve">Διαχείρισης </w:t>
      </w:r>
      <w:r w:rsidRPr="006A6523">
        <w:rPr>
          <w:rFonts w:eastAsia="Arial"/>
          <w:b/>
          <w:bCs/>
          <w:color w:val="auto"/>
        </w:rPr>
        <w:t>με</w:t>
      </w:r>
      <w:r w:rsidRPr="00987AF6">
        <w:rPr>
          <w:rFonts w:eastAsia="Arial"/>
          <w:b/>
          <w:bCs/>
          <w:color w:val="auto"/>
        </w:rPr>
        <w:t xml:space="preserve"> </w:t>
      </w:r>
      <w:r w:rsidRPr="006A6523">
        <w:rPr>
          <w:rFonts w:eastAsia="Arial"/>
          <w:b/>
          <w:bCs/>
          <w:color w:val="auto"/>
        </w:rPr>
        <w:t>την</w:t>
      </w:r>
      <w:r w:rsidRPr="00987AF6">
        <w:rPr>
          <w:rFonts w:eastAsia="Arial"/>
          <w:b/>
          <w:bCs/>
          <w:color w:val="auto"/>
        </w:rPr>
        <w:t xml:space="preserve"> </w:t>
      </w:r>
      <w:r w:rsidRPr="006A6523">
        <w:rPr>
          <w:rFonts w:eastAsia="Arial"/>
          <w:b/>
          <w:bCs/>
          <w:color w:val="auto"/>
          <w:lang w:val="en-GB"/>
        </w:rPr>
        <w:t>Themis</w:t>
      </w:r>
      <w:r w:rsidRPr="00987AF6">
        <w:rPr>
          <w:rFonts w:eastAsia="Arial"/>
          <w:b/>
          <w:bCs/>
          <w:color w:val="auto"/>
        </w:rPr>
        <w:t xml:space="preserve"> </w:t>
      </w:r>
      <w:r w:rsidRPr="006A6523">
        <w:rPr>
          <w:rFonts w:eastAsia="Arial"/>
          <w:b/>
          <w:bCs/>
          <w:color w:val="auto"/>
          <w:lang w:val="en-GB"/>
        </w:rPr>
        <w:t>Portfolio</w:t>
      </w:r>
      <w:r w:rsidRPr="00987AF6">
        <w:rPr>
          <w:rFonts w:eastAsia="Arial"/>
          <w:b/>
          <w:bCs/>
          <w:color w:val="auto"/>
        </w:rPr>
        <w:t xml:space="preserve"> </w:t>
      </w:r>
      <w:r w:rsidRPr="006A6523">
        <w:rPr>
          <w:rFonts w:eastAsia="Arial"/>
          <w:b/>
          <w:bCs/>
          <w:color w:val="auto"/>
          <w:lang w:val="en-GB"/>
        </w:rPr>
        <w:t>Management</w:t>
      </w:r>
      <w:r w:rsidRPr="00987AF6">
        <w:rPr>
          <w:rFonts w:eastAsia="Arial"/>
          <w:b/>
          <w:bCs/>
          <w:color w:val="auto"/>
        </w:rPr>
        <w:t xml:space="preserve"> </w:t>
      </w:r>
      <w:r w:rsidRPr="006A6523">
        <w:rPr>
          <w:rFonts w:eastAsia="Arial"/>
          <w:b/>
          <w:bCs/>
          <w:color w:val="auto"/>
          <w:lang w:val="en-GB"/>
        </w:rPr>
        <w:t>Ltd</w:t>
      </w:r>
    </w:p>
    <w:p w14:paraId="3D45E151" w14:textId="77777777" w:rsidR="006A6523" w:rsidRPr="00987AF6" w:rsidRDefault="006A6523" w:rsidP="006A6523">
      <w:pPr>
        <w:pStyle w:val="Default"/>
        <w:adjustRightInd/>
        <w:ind w:left="360"/>
        <w:contextualSpacing/>
        <w:jc w:val="both"/>
        <w:rPr>
          <w:rFonts w:eastAsia="Arial"/>
          <w:color w:val="auto"/>
        </w:rPr>
      </w:pPr>
    </w:p>
    <w:p w14:paraId="1AAD70ED" w14:textId="77777777" w:rsidR="00987AF6" w:rsidRPr="001C72A5" w:rsidRDefault="00987AF6" w:rsidP="001C72A5">
      <w:pPr>
        <w:pStyle w:val="Default"/>
        <w:numPr>
          <w:ilvl w:val="0"/>
          <w:numId w:val="4"/>
        </w:numPr>
        <w:adjustRightInd/>
        <w:contextualSpacing/>
        <w:jc w:val="both"/>
        <w:rPr>
          <w:rFonts w:eastAsia="Arial"/>
          <w:b/>
          <w:bCs/>
          <w:color w:val="auto"/>
        </w:rPr>
      </w:pPr>
      <w:r w:rsidRPr="006A6523">
        <w:rPr>
          <w:rFonts w:eastAsia="Arial"/>
          <w:b/>
          <w:bCs/>
          <w:color w:val="auto"/>
        </w:rPr>
        <w:t xml:space="preserve">Συμφωνία διαχείρισης του χαρτοφυλακίου της </w:t>
      </w:r>
      <w:r w:rsidRPr="001C72A5">
        <w:rPr>
          <w:rFonts w:eastAsia="Arial"/>
          <w:b/>
          <w:bCs/>
          <w:color w:val="auto"/>
        </w:rPr>
        <w:t>Creditum</w:t>
      </w:r>
      <w:r w:rsidRPr="006A6523">
        <w:rPr>
          <w:rFonts w:eastAsia="Arial"/>
          <w:b/>
          <w:bCs/>
          <w:color w:val="auto"/>
        </w:rPr>
        <w:t xml:space="preserve"> </w:t>
      </w:r>
      <w:r w:rsidRPr="001C72A5">
        <w:rPr>
          <w:rFonts w:eastAsia="Arial"/>
          <w:b/>
          <w:bCs/>
          <w:color w:val="auto"/>
        </w:rPr>
        <w:t>Holdings</w:t>
      </w:r>
      <w:r w:rsidRPr="006A6523">
        <w:rPr>
          <w:rFonts w:eastAsia="Arial"/>
          <w:b/>
          <w:bCs/>
          <w:color w:val="auto"/>
        </w:rPr>
        <w:t xml:space="preserve"> </w:t>
      </w:r>
      <w:r w:rsidRPr="001C72A5">
        <w:rPr>
          <w:rFonts w:eastAsia="Arial"/>
          <w:b/>
          <w:bCs/>
          <w:color w:val="auto"/>
        </w:rPr>
        <w:t>Ltd</w:t>
      </w:r>
      <w:r w:rsidRPr="006A6523">
        <w:rPr>
          <w:rFonts w:eastAsia="Arial"/>
          <w:b/>
          <w:bCs/>
          <w:color w:val="auto"/>
        </w:rPr>
        <w:t xml:space="preserve"> με την </w:t>
      </w:r>
      <w:r w:rsidRPr="001C72A5">
        <w:rPr>
          <w:rFonts w:eastAsia="Arial"/>
          <w:b/>
          <w:bCs/>
          <w:color w:val="auto"/>
        </w:rPr>
        <w:t>Themis</w:t>
      </w:r>
      <w:r w:rsidRPr="006A6523">
        <w:rPr>
          <w:rFonts w:eastAsia="Arial"/>
          <w:b/>
          <w:bCs/>
          <w:color w:val="auto"/>
        </w:rPr>
        <w:t xml:space="preserve"> </w:t>
      </w:r>
      <w:r w:rsidRPr="001C72A5">
        <w:rPr>
          <w:rFonts w:eastAsia="Arial"/>
          <w:b/>
          <w:bCs/>
          <w:color w:val="auto"/>
        </w:rPr>
        <w:t>Portfolio</w:t>
      </w:r>
      <w:r w:rsidRPr="006A6523">
        <w:rPr>
          <w:rFonts w:eastAsia="Arial"/>
          <w:b/>
          <w:bCs/>
          <w:color w:val="auto"/>
        </w:rPr>
        <w:t xml:space="preserve"> </w:t>
      </w:r>
      <w:r w:rsidRPr="001C72A5">
        <w:rPr>
          <w:rFonts w:eastAsia="Arial"/>
          <w:b/>
          <w:bCs/>
          <w:color w:val="auto"/>
        </w:rPr>
        <w:t>Management</w:t>
      </w:r>
      <w:r w:rsidRPr="006A6523">
        <w:rPr>
          <w:rFonts w:eastAsia="Arial"/>
          <w:b/>
          <w:bCs/>
          <w:color w:val="auto"/>
        </w:rPr>
        <w:t xml:space="preserve"> </w:t>
      </w:r>
      <w:r w:rsidRPr="001C72A5">
        <w:rPr>
          <w:rFonts w:eastAsia="Arial"/>
          <w:b/>
          <w:bCs/>
          <w:color w:val="auto"/>
        </w:rPr>
        <w:t>Ltd</w:t>
      </w:r>
    </w:p>
    <w:p w14:paraId="53B7DAFD" w14:textId="77777777" w:rsidR="00987AF6" w:rsidRDefault="00987AF6" w:rsidP="0069577E">
      <w:pPr>
        <w:pStyle w:val="Default"/>
        <w:adjustRightInd/>
        <w:ind w:left="360"/>
        <w:contextualSpacing/>
        <w:jc w:val="both"/>
        <w:rPr>
          <w:rFonts w:eastAsia="Arial"/>
          <w:color w:val="auto"/>
        </w:rPr>
      </w:pPr>
    </w:p>
    <w:p w14:paraId="7510E937" w14:textId="39AB80DD" w:rsidR="009955D2" w:rsidRDefault="00E04F7D" w:rsidP="001C72A5">
      <w:pPr>
        <w:pStyle w:val="Default"/>
        <w:adjustRightInd/>
        <w:ind w:left="720"/>
        <w:contextualSpacing/>
        <w:jc w:val="both"/>
        <w:rPr>
          <w:rFonts w:eastAsia="Arial"/>
          <w:color w:val="auto"/>
        </w:rPr>
      </w:pPr>
      <w:r w:rsidRPr="00B35C2A">
        <w:rPr>
          <w:rFonts w:eastAsia="Arial"/>
          <w:color w:val="auto"/>
        </w:rPr>
        <w:t xml:space="preserve">Επιπρόσθετα, </w:t>
      </w:r>
      <w:r w:rsidR="00A52945" w:rsidRPr="00B35C2A">
        <w:rPr>
          <w:rFonts w:eastAsia="Arial"/>
          <w:color w:val="auto"/>
        </w:rPr>
        <w:t>υπεγράφη</w:t>
      </w:r>
      <w:r w:rsidR="00707791" w:rsidRPr="00B35C2A">
        <w:rPr>
          <w:rFonts w:eastAsia="Arial"/>
          <w:color w:val="auto"/>
        </w:rPr>
        <w:t xml:space="preserve"> </w:t>
      </w:r>
      <w:r w:rsidR="00C925B0">
        <w:rPr>
          <w:rFonts w:eastAsia="Arial"/>
          <w:color w:val="auto"/>
        </w:rPr>
        <w:t xml:space="preserve">στις </w:t>
      </w:r>
      <w:r w:rsidR="001971A5">
        <w:rPr>
          <w:rFonts w:eastAsia="Arial"/>
          <w:color w:val="auto"/>
        </w:rPr>
        <w:t xml:space="preserve">30 Ιανουαρίου 2026 </w:t>
      </w:r>
      <w:r w:rsidR="00367D44" w:rsidRPr="00B35C2A">
        <w:rPr>
          <w:rFonts w:eastAsia="Arial"/>
          <w:color w:val="auto"/>
        </w:rPr>
        <w:t xml:space="preserve">νέα </w:t>
      </w:r>
      <w:r w:rsidR="00707791" w:rsidRPr="00B35C2A">
        <w:rPr>
          <w:rFonts w:eastAsia="Arial"/>
          <w:color w:val="auto"/>
        </w:rPr>
        <w:t>συμφωνία διαχείρισης του</w:t>
      </w:r>
      <w:r w:rsidR="00832720">
        <w:rPr>
          <w:rFonts w:eastAsia="Arial"/>
          <w:color w:val="auto"/>
        </w:rPr>
        <w:t xml:space="preserve"> σχετικού</w:t>
      </w:r>
      <w:r w:rsidR="00707791" w:rsidRPr="00B35C2A">
        <w:rPr>
          <w:rFonts w:eastAsia="Arial"/>
          <w:color w:val="auto"/>
        </w:rPr>
        <w:t xml:space="preserve"> χαρτοφυλακίου με τον υφιστάμενο διαχειριστή </w:t>
      </w:r>
      <w:r w:rsidR="00724FCE" w:rsidRPr="00B35C2A">
        <w:rPr>
          <w:rFonts w:eastAsia="Arial"/>
          <w:color w:val="auto"/>
        </w:rPr>
        <w:t xml:space="preserve">πιστώσεων </w:t>
      </w:r>
      <w:r w:rsidR="00707791" w:rsidRPr="00B35C2A">
        <w:rPr>
          <w:rFonts w:eastAsia="Arial"/>
          <w:color w:val="auto"/>
        </w:rPr>
        <w:t xml:space="preserve">Themis Portfolio Management </w:t>
      </w:r>
      <w:proofErr w:type="spellStart"/>
      <w:r w:rsidR="00707791" w:rsidRPr="00B35C2A">
        <w:rPr>
          <w:rFonts w:eastAsia="Arial"/>
          <w:color w:val="auto"/>
        </w:rPr>
        <w:t>Limited</w:t>
      </w:r>
      <w:proofErr w:type="spellEnd"/>
      <w:r w:rsidR="00724FCE" w:rsidRPr="00B35C2A">
        <w:rPr>
          <w:rFonts w:eastAsia="Arial"/>
          <w:color w:val="auto"/>
        </w:rPr>
        <w:t>,</w:t>
      </w:r>
      <w:r w:rsidR="00707791" w:rsidRPr="00B35C2A">
        <w:rPr>
          <w:rFonts w:eastAsia="Arial"/>
          <w:color w:val="auto"/>
        </w:rPr>
        <w:t xml:space="preserve"> η οποία έχει διάρκεια</w:t>
      </w:r>
      <w:r w:rsidR="008C5F6A" w:rsidRPr="00B35C2A">
        <w:rPr>
          <w:rFonts w:eastAsia="Arial"/>
          <w:color w:val="auto"/>
        </w:rPr>
        <w:t xml:space="preserve"> μέχρι</w:t>
      </w:r>
      <w:r w:rsidR="00707791" w:rsidRPr="00B35C2A">
        <w:rPr>
          <w:rFonts w:eastAsia="Arial"/>
          <w:color w:val="auto"/>
        </w:rPr>
        <w:t xml:space="preserve"> 31</w:t>
      </w:r>
      <w:r w:rsidR="00A52945" w:rsidRPr="00B35C2A">
        <w:rPr>
          <w:rFonts w:eastAsia="Arial"/>
          <w:color w:val="auto"/>
        </w:rPr>
        <w:t xml:space="preserve"> Δεκεμβρίου </w:t>
      </w:r>
      <w:r w:rsidR="00707791" w:rsidRPr="00B35C2A">
        <w:rPr>
          <w:rFonts w:eastAsia="Arial"/>
          <w:color w:val="auto"/>
        </w:rPr>
        <w:t>2030</w:t>
      </w:r>
      <w:r w:rsidR="00486C25" w:rsidRPr="00B35C2A">
        <w:rPr>
          <w:rFonts w:eastAsia="Arial"/>
          <w:color w:val="auto"/>
        </w:rPr>
        <w:t xml:space="preserve"> </w:t>
      </w:r>
      <w:r w:rsidRPr="00B35C2A">
        <w:rPr>
          <w:rFonts w:eastAsia="Arial"/>
          <w:color w:val="auto"/>
        </w:rPr>
        <w:t xml:space="preserve">και διέπεται από </w:t>
      </w:r>
      <w:r w:rsidR="00486C25" w:rsidRPr="00B35C2A">
        <w:rPr>
          <w:rFonts w:eastAsia="Arial"/>
          <w:color w:val="auto"/>
        </w:rPr>
        <w:t>τους ίδιους βασικού</w:t>
      </w:r>
      <w:r w:rsidR="00724FCE" w:rsidRPr="00B35C2A">
        <w:rPr>
          <w:rFonts w:eastAsia="Arial"/>
          <w:color w:val="auto"/>
        </w:rPr>
        <w:t>ς</w:t>
      </w:r>
      <w:r w:rsidR="00486C25" w:rsidRPr="00B35C2A">
        <w:rPr>
          <w:rFonts w:eastAsia="Arial"/>
          <w:color w:val="auto"/>
        </w:rPr>
        <w:t xml:space="preserve"> όρους </w:t>
      </w:r>
      <w:r w:rsidRPr="00B35C2A">
        <w:rPr>
          <w:rFonts w:eastAsia="Arial"/>
          <w:color w:val="auto"/>
        </w:rPr>
        <w:t>που ισχύουν στ</w:t>
      </w:r>
      <w:r w:rsidR="00486C25" w:rsidRPr="00B35C2A">
        <w:rPr>
          <w:rFonts w:eastAsia="Arial"/>
          <w:color w:val="auto"/>
        </w:rPr>
        <w:t>η</w:t>
      </w:r>
      <w:r w:rsidRPr="00B35C2A">
        <w:rPr>
          <w:rFonts w:eastAsia="Arial"/>
          <w:color w:val="auto"/>
        </w:rPr>
        <w:t>ν</w:t>
      </w:r>
      <w:r w:rsidR="00486C25" w:rsidRPr="00B35C2A">
        <w:rPr>
          <w:rFonts w:eastAsia="Arial"/>
          <w:color w:val="auto"/>
        </w:rPr>
        <w:t xml:space="preserve"> </w:t>
      </w:r>
      <w:r w:rsidR="00724FCE" w:rsidRPr="00B35C2A">
        <w:rPr>
          <w:rFonts w:eastAsia="Arial"/>
          <w:color w:val="auto"/>
        </w:rPr>
        <w:t xml:space="preserve">υφιστάμενη </w:t>
      </w:r>
      <w:r w:rsidR="00486C25" w:rsidRPr="00B35C2A">
        <w:rPr>
          <w:rFonts w:eastAsia="Arial"/>
          <w:color w:val="auto"/>
        </w:rPr>
        <w:t xml:space="preserve">συμφωνία της Themis Portfolio Management </w:t>
      </w:r>
      <w:proofErr w:type="spellStart"/>
      <w:r w:rsidR="00486C25" w:rsidRPr="00B35C2A">
        <w:rPr>
          <w:rFonts w:eastAsia="Arial"/>
          <w:color w:val="auto"/>
        </w:rPr>
        <w:t>Limited</w:t>
      </w:r>
      <w:proofErr w:type="spellEnd"/>
      <w:r w:rsidR="00486C25" w:rsidRPr="00B35C2A">
        <w:rPr>
          <w:rFonts w:eastAsia="Arial"/>
          <w:color w:val="auto"/>
        </w:rPr>
        <w:t xml:space="preserve"> με την </w:t>
      </w:r>
      <w:proofErr w:type="spellStart"/>
      <w:r w:rsidR="00486C25" w:rsidRPr="00B35C2A">
        <w:rPr>
          <w:rFonts w:eastAsia="Arial"/>
          <w:color w:val="auto"/>
        </w:rPr>
        <w:t>Eurobank</w:t>
      </w:r>
      <w:proofErr w:type="spellEnd"/>
      <w:r w:rsidR="00486C25" w:rsidRPr="00B35C2A">
        <w:rPr>
          <w:rFonts w:eastAsia="Arial"/>
          <w:color w:val="auto"/>
        </w:rPr>
        <w:t xml:space="preserve"> </w:t>
      </w:r>
      <w:r w:rsidR="004F1A69" w:rsidRPr="004F1A69">
        <w:rPr>
          <w:bCs/>
          <w:lang w:val="en-GB"/>
        </w:rPr>
        <w:t>Limited</w:t>
      </w:r>
      <w:r w:rsidR="00707791" w:rsidRPr="00B35C2A">
        <w:rPr>
          <w:rFonts w:eastAsia="Arial"/>
          <w:color w:val="auto"/>
        </w:rPr>
        <w:t>.</w:t>
      </w:r>
      <w:r w:rsidR="00486C25" w:rsidRPr="00B35C2A">
        <w:rPr>
          <w:rFonts w:eastAsia="Arial"/>
          <w:color w:val="auto"/>
        </w:rPr>
        <w:t xml:space="preserve"> </w:t>
      </w:r>
    </w:p>
    <w:p w14:paraId="69BDDD22" w14:textId="77777777" w:rsidR="009955D2" w:rsidRPr="00E04F7D" w:rsidRDefault="009955D2" w:rsidP="0069577E">
      <w:pPr>
        <w:pStyle w:val="Default"/>
        <w:adjustRightInd/>
        <w:ind w:left="360"/>
        <w:contextualSpacing/>
        <w:jc w:val="both"/>
        <w:rPr>
          <w:rFonts w:eastAsia="Arial"/>
          <w:color w:val="auto"/>
        </w:rPr>
      </w:pPr>
    </w:p>
    <w:p w14:paraId="579319A6" w14:textId="351EA723" w:rsidR="00C4527D" w:rsidRPr="00707791" w:rsidRDefault="00486C25" w:rsidP="00670151">
      <w:pPr>
        <w:pStyle w:val="Default"/>
        <w:adjustRightInd/>
        <w:ind w:left="720"/>
        <w:contextualSpacing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>Τα μέχρι σήμερα θετικά αποτελέσματα από την διαχείριση του χαρτοφυλακίου</w:t>
      </w:r>
      <w:r w:rsidR="00E04F7D">
        <w:rPr>
          <w:rFonts w:eastAsia="Arial"/>
          <w:color w:val="auto"/>
        </w:rPr>
        <w:t>, σε συνδυασμό</w:t>
      </w:r>
      <w:r>
        <w:rPr>
          <w:rFonts w:eastAsia="Arial"/>
          <w:color w:val="auto"/>
        </w:rPr>
        <w:t xml:space="preserve"> </w:t>
      </w:r>
      <w:r w:rsidR="00E04F7D">
        <w:rPr>
          <w:rFonts w:eastAsia="Arial"/>
          <w:color w:val="auto"/>
        </w:rPr>
        <w:t xml:space="preserve">με </w:t>
      </w:r>
      <w:r w:rsidR="00865949">
        <w:rPr>
          <w:rFonts w:eastAsia="Arial"/>
          <w:color w:val="auto"/>
        </w:rPr>
        <w:t>το επιχειρηματικό πλάνο που έχει καταρτιστεί</w:t>
      </w:r>
      <w:r w:rsidR="006A6523" w:rsidRPr="006A6523">
        <w:rPr>
          <w:rFonts w:eastAsia="Arial"/>
          <w:color w:val="auto"/>
        </w:rPr>
        <w:t xml:space="preserve"> </w:t>
      </w:r>
      <w:r w:rsidR="006A6523">
        <w:rPr>
          <w:rFonts w:eastAsia="Arial"/>
          <w:color w:val="auto"/>
        </w:rPr>
        <w:t>κατά την συνομολόγηση της συμφωνίας διαχείρισης</w:t>
      </w:r>
      <w:r w:rsidR="00865949">
        <w:rPr>
          <w:rFonts w:eastAsia="Arial"/>
          <w:color w:val="auto"/>
        </w:rPr>
        <w:t xml:space="preserve">, </w:t>
      </w:r>
      <w:r>
        <w:rPr>
          <w:rFonts w:eastAsia="Arial"/>
          <w:color w:val="auto"/>
        </w:rPr>
        <w:t xml:space="preserve">θέτουν </w:t>
      </w:r>
      <w:r w:rsidR="00865949">
        <w:rPr>
          <w:rFonts w:eastAsia="Arial"/>
          <w:color w:val="auto"/>
        </w:rPr>
        <w:t>τις προϋποθέσεις για πλήρη ανάκτηση της τιμής αγοράς</w:t>
      </w:r>
      <w:r w:rsidR="0060462E">
        <w:rPr>
          <w:rFonts w:eastAsia="Arial"/>
          <w:color w:val="auto"/>
        </w:rPr>
        <w:t xml:space="preserve"> από την ΚΕΔΙΠΕΣ</w:t>
      </w:r>
      <w:r w:rsidR="00865949">
        <w:rPr>
          <w:rFonts w:eastAsia="Arial"/>
          <w:color w:val="auto"/>
        </w:rPr>
        <w:t>.</w:t>
      </w:r>
    </w:p>
    <w:p w14:paraId="761FF05F" w14:textId="77777777" w:rsidR="0069577E" w:rsidRDefault="0069577E" w:rsidP="0069577E">
      <w:pPr>
        <w:pStyle w:val="Default"/>
        <w:adjustRightInd/>
        <w:ind w:left="360"/>
        <w:contextualSpacing/>
        <w:jc w:val="both"/>
        <w:rPr>
          <w:rFonts w:eastAsia="Arial"/>
          <w:color w:val="auto"/>
        </w:rPr>
      </w:pPr>
    </w:p>
    <w:p w14:paraId="340B879F" w14:textId="7F9CACA7" w:rsidR="0031557B" w:rsidRDefault="0060266D" w:rsidP="0060266D">
      <w:pPr>
        <w:pStyle w:val="Default"/>
        <w:numPr>
          <w:ilvl w:val="0"/>
          <w:numId w:val="5"/>
        </w:numPr>
        <w:adjustRightInd/>
        <w:contextualSpacing/>
        <w:jc w:val="both"/>
        <w:rPr>
          <w:rFonts w:eastAsia="Arial"/>
          <w:color w:val="auto"/>
        </w:rPr>
      </w:pPr>
      <w:r w:rsidRPr="0060266D">
        <w:rPr>
          <w:rFonts w:eastAsia="Arial"/>
          <w:b/>
          <w:bCs/>
          <w:color w:val="auto"/>
        </w:rPr>
        <w:t xml:space="preserve">Συμφωνία </w:t>
      </w:r>
      <w:r w:rsidR="00987AF6">
        <w:rPr>
          <w:rFonts w:eastAsia="Arial"/>
          <w:b/>
          <w:bCs/>
          <w:color w:val="auto"/>
        </w:rPr>
        <w:t>Τ</w:t>
      </w:r>
      <w:r w:rsidRPr="0060266D">
        <w:rPr>
          <w:rFonts w:eastAsia="Arial"/>
          <w:b/>
          <w:bCs/>
          <w:color w:val="auto"/>
        </w:rPr>
        <w:t>ερματισμού της Συμφωνία</w:t>
      </w:r>
      <w:r w:rsidR="00A52945">
        <w:rPr>
          <w:rFonts w:eastAsia="Arial"/>
          <w:b/>
          <w:bCs/>
          <w:color w:val="auto"/>
        </w:rPr>
        <w:t>ς</w:t>
      </w:r>
      <w:r w:rsidRPr="0060266D">
        <w:rPr>
          <w:rFonts w:eastAsia="Arial"/>
          <w:b/>
          <w:bCs/>
          <w:color w:val="auto"/>
        </w:rPr>
        <w:t xml:space="preserve"> Μεταφοράς Περιουσιακών Στοιχείων</w:t>
      </w:r>
    </w:p>
    <w:p w14:paraId="2A545CA7" w14:textId="77777777" w:rsidR="00C4527D" w:rsidRDefault="00C4527D" w:rsidP="000A64CC">
      <w:pPr>
        <w:pStyle w:val="Default"/>
        <w:adjustRightInd/>
        <w:ind w:left="360"/>
        <w:contextualSpacing/>
        <w:jc w:val="both"/>
        <w:rPr>
          <w:rFonts w:eastAsia="Arial"/>
          <w:color w:val="auto"/>
        </w:rPr>
      </w:pPr>
    </w:p>
    <w:p w14:paraId="35D33EB5" w14:textId="09CCB093" w:rsidR="00987AF6" w:rsidRPr="00177030" w:rsidRDefault="00987AF6" w:rsidP="00987AF6">
      <w:pPr>
        <w:pStyle w:val="Default"/>
        <w:numPr>
          <w:ilvl w:val="0"/>
          <w:numId w:val="4"/>
        </w:numPr>
        <w:adjustRightInd/>
        <w:contextualSpacing/>
        <w:jc w:val="both"/>
        <w:rPr>
          <w:rFonts w:eastAsia="Arial"/>
          <w:b/>
          <w:bCs/>
          <w:color w:val="auto"/>
        </w:rPr>
      </w:pPr>
      <w:r w:rsidRPr="00177030">
        <w:rPr>
          <w:rFonts w:eastAsia="Arial"/>
          <w:b/>
          <w:bCs/>
          <w:color w:val="auto"/>
        </w:rPr>
        <w:t xml:space="preserve">Τερματισμό </w:t>
      </w:r>
      <w:r w:rsidR="006F6308">
        <w:rPr>
          <w:rFonts w:eastAsia="Arial"/>
          <w:b/>
          <w:bCs/>
          <w:color w:val="auto"/>
        </w:rPr>
        <w:t>της Συμφωνίας Μεταφοράς Περιουσιακών Στοιχείων</w:t>
      </w:r>
      <w:r w:rsidR="00832720">
        <w:rPr>
          <w:rFonts w:eastAsia="Arial"/>
          <w:b/>
          <w:bCs/>
          <w:color w:val="auto"/>
        </w:rPr>
        <w:t xml:space="preserve"> </w:t>
      </w:r>
      <w:r w:rsidR="00832720" w:rsidRPr="00286F87">
        <w:rPr>
          <w:bCs/>
        </w:rPr>
        <w:t xml:space="preserve">με την οποία έγινε η πώληση των τραπεζικών </w:t>
      </w:r>
      <w:r w:rsidR="00832720">
        <w:rPr>
          <w:bCs/>
        </w:rPr>
        <w:t>εργασιών της πρώην Συνεργατικής Κυπριακής Τράπεζας στην Ελληνική Τράπεζα το 201</w:t>
      </w:r>
      <w:r w:rsidR="00152FEF" w:rsidRPr="00670151">
        <w:rPr>
          <w:bCs/>
        </w:rPr>
        <w:t>8</w:t>
      </w:r>
      <w:r w:rsidR="00640BF4">
        <w:rPr>
          <w:bCs/>
        </w:rPr>
        <w:t>.</w:t>
      </w:r>
      <w:r w:rsidRPr="00177030">
        <w:rPr>
          <w:rFonts w:eastAsia="Arial"/>
          <w:b/>
          <w:bCs/>
          <w:color w:val="auto"/>
        </w:rPr>
        <w:t xml:space="preserve"> </w:t>
      </w:r>
    </w:p>
    <w:p w14:paraId="58985E97" w14:textId="77777777" w:rsidR="00987AF6" w:rsidRDefault="00987AF6" w:rsidP="000A64CC">
      <w:pPr>
        <w:pStyle w:val="Default"/>
        <w:adjustRightInd/>
        <w:ind w:left="360"/>
        <w:contextualSpacing/>
        <w:jc w:val="both"/>
        <w:rPr>
          <w:rFonts w:eastAsia="Arial"/>
          <w:color w:val="auto"/>
        </w:rPr>
      </w:pPr>
    </w:p>
    <w:p w14:paraId="0E1CEB5F" w14:textId="5A6770C9" w:rsidR="00C925B0" w:rsidRPr="00670151" w:rsidRDefault="005C46BD" w:rsidP="001C72A5">
      <w:pPr>
        <w:pStyle w:val="Default"/>
        <w:numPr>
          <w:ilvl w:val="0"/>
          <w:numId w:val="4"/>
        </w:numPr>
        <w:adjustRightInd/>
        <w:contextualSpacing/>
        <w:jc w:val="both"/>
        <w:rPr>
          <w:rFonts w:eastAsia="Arial"/>
          <w:b/>
          <w:bCs/>
          <w:color w:val="auto"/>
        </w:rPr>
      </w:pPr>
      <w:r w:rsidRPr="001C72A5">
        <w:rPr>
          <w:rFonts w:eastAsia="Arial"/>
          <w:b/>
          <w:bCs/>
          <w:color w:val="auto"/>
        </w:rPr>
        <w:t>Καταβολή €10εκ.</w:t>
      </w:r>
      <w:r w:rsidR="00832720">
        <w:rPr>
          <w:rFonts w:eastAsia="Arial"/>
          <w:b/>
          <w:bCs/>
          <w:color w:val="auto"/>
        </w:rPr>
        <w:t xml:space="preserve"> </w:t>
      </w:r>
      <w:r w:rsidR="00987AF6" w:rsidRPr="00177030">
        <w:rPr>
          <w:rFonts w:eastAsia="Arial"/>
          <w:b/>
          <w:bCs/>
          <w:color w:val="auto"/>
        </w:rPr>
        <w:t xml:space="preserve">από την ΚΕΔΙΠΕΣ προς την </w:t>
      </w:r>
      <w:proofErr w:type="spellStart"/>
      <w:r w:rsidR="00987AF6" w:rsidRPr="00177030">
        <w:rPr>
          <w:rFonts w:eastAsia="Arial"/>
          <w:b/>
          <w:bCs/>
          <w:color w:val="auto"/>
        </w:rPr>
        <w:t>Eurobank</w:t>
      </w:r>
      <w:proofErr w:type="spellEnd"/>
      <w:r w:rsidR="00987AF6" w:rsidRPr="00177030">
        <w:rPr>
          <w:rFonts w:eastAsia="Arial"/>
          <w:b/>
          <w:bCs/>
          <w:color w:val="auto"/>
        </w:rPr>
        <w:t xml:space="preserve"> </w:t>
      </w:r>
      <w:r w:rsidR="004F1A69" w:rsidRPr="00D32CBB">
        <w:rPr>
          <w:b/>
          <w:lang w:val="en-GB"/>
        </w:rPr>
        <w:t>Limited</w:t>
      </w:r>
      <w:r w:rsidR="004F1A69" w:rsidRPr="004F1A69" w:rsidDel="004F1A69">
        <w:rPr>
          <w:bCs/>
        </w:rPr>
        <w:t xml:space="preserve"> </w:t>
      </w:r>
      <w:bookmarkStart w:id="0" w:name="_Hlk195175376"/>
      <w:r w:rsidR="0060266D" w:rsidRPr="00987AF6">
        <w:rPr>
          <w:rFonts w:eastAsia="Arial"/>
          <w:color w:val="auto"/>
        </w:rPr>
        <w:t xml:space="preserve">σε σχέση με </w:t>
      </w:r>
      <w:r w:rsidR="006534D4" w:rsidRPr="00987AF6">
        <w:rPr>
          <w:rFonts w:eastAsia="Arial"/>
          <w:color w:val="auto"/>
        </w:rPr>
        <w:t xml:space="preserve">τον τερματισμό των υποχρεώσεων </w:t>
      </w:r>
      <w:r w:rsidR="00AD6D21" w:rsidRPr="00987AF6">
        <w:rPr>
          <w:rFonts w:eastAsia="Arial"/>
          <w:color w:val="auto"/>
        </w:rPr>
        <w:t xml:space="preserve">και εγγυήσεων αποζημιώσεων </w:t>
      </w:r>
      <w:r w:rsidR="0060266D" w:rsidRPr="00987AF6">
        <w:rPr>
          <w:rFonts w:eastAsia="Arial"/>
          <w:color w:val="auto"/>
        </w:rPr>
        <w:t>που προέβλεπε η</w:t>
      </w:r>
      <w:r w:rsidR="006534D4" w:rsidRPr="00987AF6">
        <w:rPr>
          <w:rFonts w:eastAsia="Arial"/>
          <w:color w:val="auto"/>
        </w:rPr>
        <w:t xml:space="preserve"> Συμφωνία Μεταφορά</w:t>
      </w:r>
      <w:r w:rsidR="00DC496D" w:rsidRPr="00987AF6">
        <w:rPr>
          <w:rFonts w:eastAsia="Arial"/>
          <w:color w:val="auto"/>
        </w:rPr>
        <w:t>ς</w:t>
      </w:r>
      <w:r w:rsidR="006534D4" w:rsidRPr="00987AF6">
        <w:rPr>
          <w:rFonts w:eastAsia="Arial"/>
          <w:color w:val="auto"/>
        </w:rPr>
        <w:t xml:space="preserve"> Περιουσιακών Στοιχείων</w:t>
      </w:r>
      <w:bookmarkEnd w:id="0"/>
      <w:r w:rsidR="003275D4" w:rsidRPr="00987AF6">
        <w:rPr>
          <w:rFonts w:eastAsia="Arial"/>
          <w:color w:val="auto"/>
        </w:rPr>
        <w:t>.</w:t>
      </w:r>
      <w:r w:rsidR="00605937">
        <w:rPr>
          <w:rFonts w:eastAsia="Arial"/>
          <w:color w:val="auto"/>
        </w:rPr>
        <w:t xml:space="preserve"> </w:t>
      </w:r>
    </w:p>
    <w:p w14:paraId="067E5FED" w14:textId="77777777" w:rsidR="00C925B0" w:rsidRPr="00670151" w:rsidRDefault="00C925B0" w:rsidP="00670151">
      <w:pPr>
        <w:pStyle w:val="ListParagraph"/>
        <w:rPr>
          <w:rFonts w:eastAsia="Arial"/>
          <w:lang w:val="el-GR"/>
        </w:rPr>
      </w:pPr>
    </w:p>
    <w:p w14:paraId="144D25C4" w14:textId="7061619C" w:rsidR="006534D4" w:rsidRPr="001C72A5" w:rsidRDefault="00605937" w:rsidP="00670151">
      <w:pPr>
        <w:pStyle w:val="Default"/>
        <w:adjustRightInd/>
        <w:ind w:left="720"/>
        <w:contextualSpacing/>
        <w:jc w:val="both"/>
        <w:rPr>
          <w:rFonts w:eastAsia="Arial"/>
          <w:b/>
          <w:bCs/>
          <w:color w:val="auto"/>
        </w:rPr>
      </w:pPr>
      <w:r>
        <w:rPr>
          <w:rFonts w:eastAsia="Arial"/>
          <w:color w:val="auto"/>
        </w:rPr>
        <w:t xml:space="preserve">Η καταβολή πραγματοποιήθηκε </w:t>
      </w:r>
      <w:r w:rsidR="00982CFF">
        <w:rPr>
          <w:rFonts w:eastAsia="Arial"/>
          <w:color w:val="auto"/>
        </w:rPr>
        <w:t xml:space="preserve">με την υπογραφή </w:t>
      </w:r>
      <w:r w:rsidR="001971A5">
        <w:rPr>
          <w:rFonts w:eastAsia="Arial"/>
          <w:color w:val="auto"/>
        </w:rPr>
        <w:t xml:space="preserve">και </w:t>
      </w:r>
      <w:r w:rsidR="00640BF4">
        <w:rPr>
          <w:rFonts w:eastAsia="Arial"/>
          <w:color w:val="auto"/>
        </w:rPr>
        <w:t xml:space="preserve">ταυτόχρονη </w:t>
      </w:r>
      <w:r w:rsidR="001971A5">
        <w:rPr>
          <w:rFonts w:eastAsia="Arial"/>
          <w:color w:val="auto"/>
        </w:rPr>
        <w:t>ολοκλήρωση της συμφωνίας αυτής στις 30 Σεπτεμβρίου 2025.</w:t>
      </w:r>
      <w:r w:rsidR="00982CFF">
        <w:rPr>
          <w:rFonts w:eastAsia="Arial"/>
          <w:color w:val="auto"/>
        </w:rPr>
        <w:t xml:space="preserve"> </w:t>
      </w:r>
    </w:p>
    <w:p w14:paraId="3271F4B8" w14:textId="77777777" w:rsidR="006534D4" w:rsidRPr="0031021E" w:rsidRDefault="006534D4" w:rsidP="000F7B73">
      <w:pPr>
        <w:pStyle w:val="Default"/>
        <w:adjustRightInd/>
        <w:contextualSpacing/>
        <w:jc w:val="both"/>
        <w:rPr>
          <w:rFonts w:eastAsia="Arial"/>
          <w:color w:val="auto"/>
        </w:rPr>
      </w:pPr>
    </w:p>
    <w:p w14:paraId="421AC580" w14:textId="0C9EB90B" w:rsidR="000A64CC" w:rsidRPr="0031021E" w:rsidRDefault="000A64CC" w:rsidP="000A64CC">
      <w:pPr>
        <w:pStyle w:val="Default"/>
        <w:adjustRightInd/>
        <w:contextualSpacing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Με την </w:t>
      </w:r>
      <w:r w:rsidRPr="0031021E">
        <w:rPr>
          <w:rFonts w:eastAsia="Arial"/>
          <w:color w:val="auto"/>
        </w:rPr>
        <w:t xml:space="preserve">ολοκλήρωση της Συναλλαγής, </w:t>
      </w:r>
      <w:r w:rsidR="00C96943">
        <w:rPr>
          <w:rFonts w:eastAsia="Arial"/>
          <w:color w:val="auto"/>
        </w:rPr>
        <w:t>τερματίστηκαν</w:t>
      </w:r>
      <w:r>
        <w:rPr>
          <w:rFonts w:eastAsia="Arial"/>
          <w:color w:val="auto"/>
        </w:rPr>
        <w:t xml:space="preserve"> </w:t>
      </w:r>
      <w:r w:rsidRPr="0031021E">
        <w:rPr>
          <w:rFonts w:eastAsia="Arial"/>
          <w:color w:val="auto"/>
        </w:rPr>
        <w:t>όλες οι εγγυήσεις που παρείχε η Κυπριακή Δημοκρατία προς την Ελληνική Τράπεζα το 2018.</w:t>
      </w:r>
    </w:p>
    <w:p w14:paraId="3A1D7C16" w14:textId="77777777" w:rsidR="000A64CC" w:rsidRDefault="000A64CC" w:rsidP="000E2FDD">
      <w:pPr>
        <w:pStyle w:val="Default"/>
        <w:adjustRightInd/>
        <w:contextualSpacing/>
        <w:jc w:val="both"/>
        <w:rPr>
          <w:rFonts w:eastAsia="Arial"/>
          <w:color w:val="auto"/>
        </w:rPr>
      </w:pPr>
    </w:p>
    <w:p w14:paraId="68E8F7CD" w14:textId="1EFB1619" w:rsidR="00B11EC7" w:rsidRDefault="000A64CC" w:rsidP="000E2FDD">
      <w:pPr>
        <w:pStyle w:val="Default"/>
        <w:adjustRightInd/>
        <w:contextualSpacing/>
        <w:jc w:val="both"/>
        <w:rPr>
          <w:rFonts w:eastAsia="Arial"/>
          <w:color w:val="auto"/>
        </w:rPr>
      </w:pPr>
      <w:r>
        <w:rPr>
          <w:rFonts w:eastAsia="Arial"/>
          <w:color w:val="auto"/>
        </w:rPr>
        <w:t xml:space="preserve">Πριν την </w:t>
      </w:r>
      <w:r w:rsidR="00263BDB" w:rsidRPr="0031021E">
        <w:rPr>
          <w:rFonts w:eastAsia="Arial"/>
          <w:color w:val="auto"/>
        </w:rPr>
        <w:t xml:space="preserve">υπογραφή των </w:t>
      </w:r>
      <w:r w:rsidR="00F82649" w:rsidRPr="0031021E">
        <w:rPr>
          <w:rFonts w:eastAsia="Arial"/>
          <w:color w:val="auto"/>
        </w:rPr>
        <w:t xml:space="preserve">τελικών </w:t>
      </w:r>
      <w:r w:rsidR="00263BDB" w:rsidRPr="0031021E">
        <w:rPr>
          <w:rFonts w:eastAsia="Arial"/>
          <w:color w:val="auto"/>
        </w:rPr>
        <w:t>συμφωνιών</w:t>
      </w:r>
      <w:r w:rsidR="00C96943">
        <w:rPr>
          <w:rFonts w:eastAsia="Arial"/>
          <w:color w:val="auto"/>
        </w:rPr>
        <w:t>,</w:t>
      </w:r>
      <w:r w:rsidR="000F7B73" w:rsidRPr="0031021E">
        <w:rPr>
          <w:rFonts w:eastAsia="Arial"/>
          <w:color w:val="auto"/>
        </w:rPr>
        <w:t xml:space="preserve"> </w:t>
      </w:r>
      <w:r>
        <w:rPr>
          <w:rFonts w:eastAsia="Arial"/>
          <w:color w:val="auto"/>
        </w:rPr>
        <w:t>λήφθηκε η</w:t>
      </w:r>
      <w:r w:rsidR="006534D4" w:rsidRPr="0031021E">
        <w:rPr>
          <w:rFonts w:eastAsia="Arial"/>
          <w:color w:val="auto"/>
        </w:rPr>
        <w:t xml:space="preserve"> έγκριση του Υπουργείου Οικονομικών </w:t>
      </w:r>
      <w:r w:rsidR="00B11EC7" w:rsidRPr="0031021E">
        <w:rPr>
          <w:rFonts w:eastAsia="Arial"/>
          <w:color w:val="auto"/>
        </w:rPr>
        <w:t>και</w:t>
      </w:r>
      <w:r w:rsidR="00ED3A9D" w:rsidRPr="0031021E">
        <w:rPr>
          <w:rFonts w:eastAsia="Arial"/>
          <w:color w:val="auto"/>
        </w:rPr>
        <w:t xml:space="preserve"> </w:t>
      </w:r>
      <w:r w:rsidR="006534D4" w:rsidRPr="0031021E">
        <w:rPr>
          <w:rFonts w:eastAsia="Arial"/>
          <w:color w:val="auto"/>
        </w:rPr>
        <w:t>της Ευρωπαϊκής Επιτροπής</w:t>
      </w:r>
      <w:r w:rsidR="00ED3A9D" w:rsidRPr="0031021E">
        <w:rPr>
          <w:rFonts w:eastAsia="Arial"/>
          <w:color w:val="auto"/>
        </w:rPr>
        <w:t xml:space="preserve"> σε σχέση με τον Κατάλογο Δεσμεύσεων</w:t>
      </w:r>
      <w:r w:rsidR="009955D2">
        <w:rPr>
          <w:rFonts w:eastAsia="Arial"/>
          <w:color w:val="auto"/>
        </w:rPr>
        <w:t xml:space="preserve">, </w:t>
      </w:r>
      <w:r w:rsidR="00C96943">
        <w:rPr>
          <w:rFonts w:eastAsia="Arial"/>
          <w:color w:val="auto"/>
        </w:rPr>
        <w:t>καθώς</w:t>
      </w:r>
      <w:r w:rsidR="009955D2">
        <w:rPr>
          <w:rFonts w:eastAsia="Arial"/>
          <w:color w:val="auto"/>
        </w:rPr>
        <w:t xml:space="preserve"> </w:t>
      </w:r>
      <w:r>
        <w:rPr>
          <w:rFonts w:eastAsia="Arial"/>
          <w:color w:val="auto"/>
        </w:rPr>
        <w:t xml:space="preserve">και </w:t>
      </w:r>
      <w:r w:rsidR="009955D2">
        <w:rPr>
          <w:rFonts w:eastAsia="Arial"/>
          <w:color w:val="auto"/>
        </w:rPr>
        <w:t xml:space="preserve">η έγκριση της Επιτροπής </w:t>
      </w:r>
      <w:r w:rsidR="00724FCE">
        <w:rPr>
          <w:rFonts w:eastAsia="Arial"/>
          <w:color w:val="auto"/>
        </w:rPr>
        <w:t xml:space="preserve">Προστασίας του </w:t>
      </w:r>
      <w:r w:rsidR="009955D2">
        <w:rPr>
          <w:rFonts w:eastAsia="Arial"/>
          <w:color w:val="auto"/>
        </w:rPr>
        <w:t xml:space="preserve">Ανταγωνισμού </w:t>
      </w:r>
      <w:r>
        <w:rPr>
          <w:rFonts w:eastAsia="Arial"/>
          <w:color w:val="auto"/>
        </w:rPr>
        <w:t xml:space="preserve">πριν την ολοκλήρωση της </w:t>
      </w:r>
      <w:r w:rsidR="00724FCE">
        <w:rPr>
          <w:rFonts w:eastAsia="Arial"/>
          <w:color w:val="auto"/>
        </w:rPr>
        <w:t>Σ</w:t>
      </w:r>
      <w:r>
        <w:rPr>
          <w:rFonts w:eastAsia="Arial"/>
          <w:color w:val="auto"/>
        </w:rPr>
        <w:t xml:space="preserve">υμφωνίας </w:t>
      </w:r>
      <w:r w:rsidR="00724FCE">
        <w:rPr>
          <w:rFonts w:eastAsia="Arial"/>
          <w:color w:val="auto"/>
        </w:rPr>
        <w:t>Επαν</w:t>
      </w:r>
      <w:r>
        <w:rPr>
          <w:rFonts w:eastAsia="Arial"/>
          <w:color w:val="auto"/>
        </w:rPr>
        <w:t>αγοράς</w:t>
      </w:r>
      <w:r w:rsidR="006F6308">
        <w:rPr>
          <w:rFonts w:eastAsia="Arial"/>
          <w:color w:val="auto"/>
        </w:rPr>
        <w:t xml:space="preserve"> Μη-εξυπηρετούμενων Δανείων</w:t>
      </w:r>
      <w:r w:rsidR="006534D4" w:rsidRPr="0031021E">
        <w:rPr>
          <w:rFonts w:eastAsia="Arial"/>
          <w:color w:val="auto"/>
        </w:rPr>
        <w:t xml:space="preserve">. </w:t>
      </w:r>
    </w:p>
    <w:p w14:paraId="63445824" w14:textId="77777777" w:rsidR="006A6523" w:rsidRDefault="006A6523" w:rsidP="000E2FDD">
      <w:pPr>
        <w:pStyle w:val="Default"/>
        <w:adjustRightInd/>
        <w:contextualSpacing/>
        <w:jc w:val="both"/>
        <w:rPr>
          <w:rFonts w:eastAsia="Arial"/>
          <w:color w:val="auto"/>
        </w:rPr>
      </w:pPr>
    </w:p>
    <w:p w14:paraId="3817F3D5" w14:textId="77777777" w:rsidR="006A6523" w:rsidRPr="0031021E" w:rsidRDefault="006A6523" w:rsidP="000E2FDD">
      <w:pPr>
        <w:pStyle w:val="Default"/>
        <w:adjustRightInd/>
        <w:contextualSpacing/>
        <w:jc w:val="both"/>
        <w:rPr>
          <w:rFonts w:eastAsia="Arial"/>
          <w:color w:val="auto"/>
        </w:rPr>
      </w:pPr>
    </w:p>
    <w:p w14:paraId="724E3B73" w14:textId="77777777" w:rsidR="000E2FDD" w:rsidRPr="006F6308" w:rsidRDefault="000E2FDD" w:rsidP="000F7B73">
      <w:pPr>
        <w:pStyle w:val="Default"/>
        <w:adjustRightInd/>
        <w:contextualSpacing/>
        <w:jc w:val="both"/>
        <w:rPr>
          <w:rFonts w:eastAsia="Arial"/>
          <w:color w:val="auto"/>
        </w:rPr>
      </w:pPr>
    </w:p>
    <w:p w14:paraId="56973F42" w14:textId="7D8EB7C1" w:rsidR="00ED3A9D" w:rsidRPr="0031021E" w:rsidRDefault="00ED3A9D" w:rsidP="00ED3A9D">
      <w:pPr>
        <w:pStyle w:val="Default"/>
        <w:adjustRightInd/>
        <w:contextualSpacing/>
        <w:jc w:val="both"/>
        <w:rPr>
          <w:rFonts w:eastAsia="Arial"/>
          <w:i/>
          <w:iCs/>
          <w:color w:val="auto"/>
        </w:rPr>
      </w:pPr>
      <w:r w:rsidRPr="0031021E">
        <w:rPr>
          <w:rFonts w:eastAsia="Arial"/>
          <w:i/>
          <w:iCs/>
          <w:color w:val="auto"/>
        </w:rPr>
        <w:t>Δήλωση Λάμπρου Παπαδόπουλου, Προέδρου Διοικητικού Συμβουλίου ΚΕΔΙΠΕΣ:</w:t>
      </w:r>
    </w:p>
    <w:p w14:paraId="2B0EDC6C" w14:textId="77777777" w:rsidR="00ED3A9D" w:rsidRPr="0031021E" w:rsidRDefault="00ED3A9D" w:rsidP="00ED3A9D">
      <w:pPr>
        <w:pStyle w:val="Default"/>
        <w:adjustRightInd/>
        <w:contextualSpacing/>
        <w:jc w:val="both"/>
        <w:rPr>
          <w:rFonts w:eastAsia="Arial"/>
          <w:i/>
          <w:iCs/>
          <w:color w:val="auto"/>
        </w:rPr>
      </w:pPr>
    </w:p>
    <w:p w14:paraId="2A809D98" w14:textId="402D92F8" w:rsidR="00865949" w:rsidRDefault="0074628F" w:rsidP="00ED3A9D">
      <w:pPr>
        <w:pStyle w:val="Default"/>
        <w:adjustRightInd/>
        <w:contextualSpacing/>
        <w:jc w:val="both"/>
        <w:rPr>
          <w:rFonts w:eastAsia="Arial"/>
          <w:i/>
          <w:iCs/>
          <w:color w:val="auto"/>
        </w:rPr>
      </w:pPr>
      <w:r>
        <w:rPr>
          <w:rFonts w:eastAsia="Arial"/>
          <w:i/>
          <w:iCs/>
          <w:color w:val="auto"/>
        </w:rPr>
        <w:t>«</w:t>
      </w:r>
      <w:r w:rsidR="000A64CC">
        <w:rPr>
          <w:rFonts w:eastAsia="Arial"/>
          <w:i/>
          <w:iCs/>
          <w:color w:val="auto"/>
        </w:rPr>
        <w:t xml:space="preserve">Η ολοκλήρωση </w:t>
      </w:r>
      <w:r w:rsidR="00A52945">
        <w:rPr>
          <w:rFonts w:eastAsia="Arial"/>
          <w:i/>
          <w:iCs/>
          <w:color w:val="auto"/>
        </w:rPr>
        <w:t>της Συναλλαγής</w:t>
      </w:r>
      <w:r w:rsidR="000A64CC">
        <w:rPr>
          <w:rFonts w:eastAsia="Arial"/>
          <w:i/>
          <w:iCs/>
          <w:color w:val="auto"/>
        </w:rPr>
        <w:t xml:space="preserve"> </w:t>
      </w:r>
      <w:r>
        <w:rPr>
          <w:rFonts w:eastAsia="Arial"/>
          <w:i/>
          <w:iCs/>
          <w:color w:val="auto"/>
        </w:rPr>
        <w:t xml:space="preserve">αποτελεί </w:t>
      </w:r>
      <w:r w:rsidR="000A64CC">
        <w:rPr>
          <w:rFonts w:eastAsia="Arial"/>
          <w:i/>
          <w:iCs/>
          <w:color w:val="auto"/>
        </w:rPr>
        <w:t xml:space="preserve">επιστέγασμα </w:t>
      </w:r>
      <w:r w:rsidR="00865949">
        <w:rPr>
          <w:rFonts w:eastAsia="Arial"/>
          <w:i/>
          <w:iCs/>
          <w:color w:val="auto"/>
        </w:rPr>
        <w:t xml:space="preserve">μιας απαιτητικής </w:t>
      </w:r>
      <w:r w:rsidR="00226CF9">
        <w:rPr>
          <w:rFonts w:eastAsia="Arial"/>
          <w:i/>
          <w:iCs/>
          <w:color w:val="auto"/>
        </w:rPr>
        <w:t>και μακρόχρονης προσπάθειας</w:t>
      </w:r>
      <w:r w:rsidR="00865949">
        <w:rPr>
          <w:rFonts w:eastAsia="Arial"/>
          <w:i/>
          <w:iCs/>
          <w:color w:val="auto"/>
        </w:rPr>
        <w:t xml:space="preserve"> που </w:t>
      </w:r>
      <w:r w:rsidR="009E03BA">
        <w:rPr>
          <w:rFonts w:eastAsia="Arial"/>
          <w:i/>
          <w:iCs/>
          <w:color w:val="auto"/>
        </w:rPr>
        <w:t xml:space="preserve">πέτυχε </w:t>
      </w:r>
      <w:r w:rsidR="00865949">
        <w:rPr>
          <w:rFonts w:eastAsia="Arial"/>
          <w:i/>
          <w:iCs/>
          <w:color w:val="auto"/>
        </w:rPr>
        <w:t xml:space="preserve">τον οριστικό τερματισμό </w:t>
      </w:r>
      <w:r w:rsidR="0060462E">
        <w:rPr>
          <w:rFonts w:eastAsia="Arial"/>
          <w:i/>
          <w:iCs/>
          <w:color w:val="auto"/>
        </w:rPr>
        <w:t xml:space="preserve">των </w:t>
      </w:r>
      <w:r w:rsidR="00FF5ADD">
        <w:rPr>
          <w:rFonts w:eastAsia="Arial"/>
          <w:i/>
          <w:iCs/>
          <w:color w:val="auto"/>
        </w:rPr>
        <w:t xml:space="preserve">υποχρεώσεων και </w:t>
      </w:r>
      <w:r w:rsidR="0060462E">
        <w:rPr>
          <w:rFonts w:eastAsia="Arial"/>
          <w:i/>
          <w:iCs/>
          <w:color w:val="auto"/>
        </w:rPr>
        <w:t xml:space="preserve">εγγυήσεων που δόθηκαν το 2018 από την </w:t>
      </w:r>
      <w:r w:rsidR="00865949">
        <w:rPr>
          <w:rFonts w:eastAsia="Arial"/>
          <w:i/>
          <w:iCs/>
          <w:color w:val="auto"/>
        </w:rPr>
        <w:t>ΚΕΔΙΠΕΣ</w:t>
      </w:r>
      <w:r w:rsidR="00FF5ADD">
        <w:rPr>
          <w:rFonts w:eastAsia="Arial"/>
          <w:i/>
          <w:iCs/>
          <w:color w:val="auto"/>
        </w:rPr>
        <w:t>/ ΣΕΔΙΠΕΣ</w:t>
      </w:r>
      <w:r w:rsidR="00865949">
        <w:rPr>
          <w:rFonts w:eastAsia="Arial"/>
          <w:i/>
          <w:iCs/>
          <w:color w:val="auto"/>
        </w:rPr>
        <w:t xml:space="preserve"> και την Κυπριακή Δημοκρατία</w:t>
      </w:r>
      <w:r w:rsidR="007A5BA3">
        <w:rPr>
          <w:rFonts w:eastAsia="Arial"/>
          <w:i/>
          <w:iCs/>
          <w:color w:val="auto"/>
        </w:rPr>
        <w:t xml:space="preserve"> προς την Ελληνική Τράπεζα.</w:t>
      </w:r>
    </w:p>
    <w:p w14:paraId="47E024F4" w14:textId="77777777" w:rsidR="0060462E" w:rsidRDefault="0060462E" w:rsidP="00ED3A9D">
      <w:pPr>
        <w:pStyle w:val="Default"/>
        <w:adjustRightInd/>
        <w:contextualSpacing/>
        <w:jc w:val="both"/>
        <w:rPr>
          <w:rFonts w:eastAsia="Arial"/>
          <w:i/>
          <w:iCs/>
          <w:color w:val="auto"/>
        </w:rPr>
      </w:pPr>
    </w:p>
    <w:p w14:paraId="47B852B2" w14:textId="5D909051" w:rsidR="0060462E" w:rsidRDefault="007A5BA3" w:rsidP="00ED3A9D">
      <w:pPr>
        <w:pStyle w:val="Default"/>
        <w:adjustRightInd/>
        <w:contextualSpacing/>
        <w:jc w:val="both"/>
        <w:rPr>
          <w:rFonts w:eastAsia="Arial"/>
          <w:i/>
          <w:iCs/>
          <w:color w:val="auto"/>
        </w:rPr>
      </w:pPr>
      <w:r>
        <w:rPr>
          <w:rFonts w:eastAsia="Arial"/>
          <w:i/>
          <w:iCs/>
          <w:color w:val="auto"/>
        </w:rPr>
        <w:t xml:space="preserve">Υπό το σενάριο πλήρους ανάκτησης της τιμής αγοράς του </w:t>
      </w:r>
      <w:proofErr w:type="spellStart"/>
      <w:r>
        <w:rPr>
          <w:rFonts w:eastAsia="Arial"/>
          <w:i/>
          <w:iCs/>
          <w:color w:val="auto"/>
        </w:rPr>
        <w:t>επαναγορασθέντος</w:t>
      </w:r>
      <w:proofErr w:type="spellEnd"/>
      <w:r>
        <w:rPr>
          <w:rFonts w:eastAsia="Arial"/>
          <w:i/>
          <w:iCs/>
          <w:color w:val="auto"/>
        </w:rPr>
        <w:t xml:space="preserve"> χαρτοφυλακίου </w:t>
      </w:r>
      <w:r w:rsidR="008C5F6A">
        <w:rPr>
          <w:rFonts w:eastAsia="Arial"/>
          <w:i/>
          <w:iCs/>
          <w:color w:val="auto"/>
        </w:rPr>
        <w:t>το οποίο</w:t>
      </w:r>
      <w:r>
        <w:rPr>
          <w:rFonts w:eastAsia="Arial"/>
          <w:i/>
          <w:iCs/>
          <w:color w:val="auto"/>
        </w:rPr>
        <w:t xml:space="preserve"> κρίνεται εφικτό, οριστικοποιείται τ</w:t>
      </w:r>
      <w:r w:rsidR="0060462E">
        <w:rPr>
          <w:rFonts w:eastAsia="Arial"/>
          <w:i/>
          <w:iCs/>
          <w:color w:val="auto"/>
        </w:rPr>
        <w:t xml:space="preserve">ο </w:t>
      </w:r>
      <w:r w:rsidR="00367D44">
        <w:rPr>
          <w:rFonts w:eastAsia="Arial"/>
          <w:i/>
          <w:iCs/>
          <w:color w:val="auto"/>
        </w:rPr>
        <w:t xml:space="preserve">τελικό </w:t>
      </w:r>
      <w:r w:rsidR="009E03BA">
        <w:rPr>
          <w:rFonts w:eastAsia="Arial"/>
          <w:i/>
          <w:iCs/>
          <w:color w:val="auto"/>
        </w:rPr>
        <w:t xml:space="preserve">καθαρό </w:t>
      </w:r>
      <w:r w:rsidR="0060462E">
        <w:rPr>
          <w:rFonts w:eastAsia="Arial"/>
          <w:i/>
          <w:iCs/>
          <w:color w:val="auto"/>
        </w:rPr>
        <w:t>κόστος του Σχεδίου Εγγύησης Δανείων</w:t>
      </w:r>
      <w:r>
        <w:rPr>
          <w:rFonts w:eastAsia="Arial"/>
          <w:i/>
          <w:iCs/>
          <w:color w:val="auto"/>
        </w:rPr>
        <w:t xml:space="preserve"> σε </w:t>
      </w:r>
      <w:r w:rsidR="00D32CBB">
        <w:rPr>
          <w:rFonts w:eastAsia="Arial"/>
          <w:i/>
          <w:iCs/>
          <w:color w:val="auto"/>
        </w:rPr>
        <w:t xml:space="preserve">περίπου </w:t>
      </w:r>
      <w:r w:rsidR="00226CF9">
        <w:rPr>
          <w:rFonts w:eastAsia="Arial"/>
          <w:i/>
          <w:iCs/>
          <w:color w:val="auto"/>
        </w:rPr>
        <w:t>€7</w:t>
      </w:r>
      <w:r w:rsidR="00FC1CFF">
        <w:rPr>
          <w:rFonts w:eastAsia="Arial"/>
          <w:i/>
          <w:iCs/>
          <w:color w:val="auto"/>
        </w:rPr>
        <w:t>4</w:t>
      </w:r>
      <w:r w:rsidR="00226CF9">
        <w:rPr>
          <w:rFonts w:eastAsia="Arial"/>
          <w:i/>
          <w:iCs/>
          <w:color w:val="auto"/>
        </w:rPr>
        <w:t>εκ</w:t>
      </w:r>
      <w:r w:rsidR="00204F56">
        <w:rPr>
          <w:rFonts w:eastAsia="Arial"/>
          <w:i/>
          <w:iCs/>
          <w:color w:val="auto"/>
        </w:rPr>
        <w:t>.</w:t>
      </w:r>
      <w:r w:rsidR="00367D44">
        <w:rPr>
          <w:rFonts w:eastAsia="Arial"/>
          <w:i/>
          <w:iCs/>
          <w:color w:val="auto"/>
        </w:rPr>
        <w:t xml:space="preserve"> ως ακολούθως:</w:t>
      </w:r>
    </w:p>
    <w:p w14:paraId="11F020C4" w14:textId="77777777" w:rsidR="00367D44" w:rsidRDefault="00367D44" w:rsidP="00ED3A9D">
      <w:pPr>
        <w:pStyle w:val="Default"/>
        <w:adjustRightInd/>
        <w:contextualSpacing/>
        <w:jc w:val="both"/>
        <w:rPr>
          <w:rFonts w:eastAsia="Arial"/>
          <w:i/>
          <w:iCs/>
          <w:color w:val="auto"/>
        </w:rPr>
      </w:pPr>
    </w:p>
    <w:p w14:paraId="013FC90E" w14:textId="7BA70B69" w:rsidR="00367D44" w:rsidRPr="00226CF9" w:rsidRDefault="00367D44" w:rsidP="00226CF9">
      <w:pPr>
        <w:pStyle w:val="Default"/>
        <w:numPr>
          <w:ilvl w:val="0"/>
          <w:numId w:val="4"/>
        </w:numPr>
        <w:adjustRightInd/>
        <w:contextualSpacing/>
        <w:jc w:val="both"/>
        <w:rPr>
          <w:rFonts w:eastAsia="Arial"/>
          <w:i/>
          <w:iCs/>
          <w:color w:val="auto"/>
        </w:rPr>
      </w:pPr>
      <w:r w:rsidRPr="00226CF9">
        <w:rPr>
          <w:rFonts w:eastAsia="Arial"/>
          <w:i/>
          <w:iCs/>
          <w:color w:val="auto"/>
        </w:rPr>
        <w:t>Πληρωμές €102,</w:t>
      </w:r>
      <w:r w:rsidR="001971A5">
        <w:rPr>
          <w:rFonts w:eastAsia="Arial"/>
          <w:i/>
          <w:iCs/>
          <w:color w:val="auto"/>
        </w:rPr>
        <w:t>5</w:t>
      </w:r>
      <w:r w:rsidRPr="00226CF9">
        <w:rPr>
          <w:rFonts w:eastAsia="Arial"/>
          <w:i/>
          <w:iCs/>
          <w:color w:val="auto"/>
        </w:rPr>
        <w:t xml:space="preserve">εκ. από την ΚΕΔΙΠΕΣ προς την Ελληνική Τράπεζα σε σχέση με απαιτήσεις που υποβλήθηκαν </w:t>
      </w:r>
      <w:proofErr w:type="spellStart"/>
      <w:r w:rsidRPr="00226CF9">
        <w:rPr>
          <w:rFonts w:eastAsia="Arial"/>
          <w:i/>
          <w:iCs/>
          <w:color w:val="auto"/>
        </w:rPr>
        <w:t>σ</w:t>
      </w:r>
      <w:r w:rsidR="00A52945">
        <w:rPr>
          <w:rFonts w:eastAsia="Arial"/>
          <w:i/>
          <w:iCs/>
          <w:color w:val="auto"/>
        </w:rPr>
        <w:t>τ</w:t>
      </w:r>
      <w:proofErr w:type="spellEnd"/>
      <w:r w:rsidR="00F84AA8">
        <w:rPr>
          <w:rFonts w:eastAsia="Arial"/>
          <w:i/>
          <w:iCs/>
          <w:color w:val="auto"/>
          <w:lang w:val="en-US"/>
        </w:rPr>
        <w:t>o</w:t>
      </w:r>
      <w:r w:rsidR="00A52945">
        <w:rPr>
          <w:rFonts w:eastAsia="Arial"/>
          <w:i/>
          <w:iCs/>
          <w:color w:val="auto"/>
        </w:rPr>
        <w:t xml:space="preserve"> </w:t>
      </w:r>
      <w:proofErr w:type="spellStart"/>
      <w:r w:rsidR="00A52945">
        <w:rPr>
          <w:rFonts w:eastAsia="Arial"/>
          <w:i/>
          <w:iCs/>
          <w:color w:val="auto"/>
        </w:rPr>
        <w:t>πλαίσι</w:t>
      </w:r>
      <w:proofErr w:type="spellEnd"/>
      <w:r w:rsidR="00F84AA8">
        <w:rPr>
          <w:rFonts w:eastAsia="Arial"/>
          <w:i/>
          <w:iCs/>
          <w:color w:val="auto"/>
          <w:lang w:val="en-US"/>
        </w:rPr>
        <w:t>o</w:t>
      </w:r>
      <w:r w:rsidRPr="00226CF9">
        <w:rPr>
          <w:rFonts w:eastAsia="Arial"/>
          <w:i/>
          <w:iCs/>
          <w:color w:val="auto"/>
        </w:rPr>
        <w:t xml:space="preserve"> το</w:t>
      </w:r>
      <w:r w:rsidR="00A52945">
        <w:rPr>
          <w:rFonts w:eastAsia="Arial"/>
          <w:i/>
          <w:iCs/>
          <w:color w:val="auto"/>
        </w:rPr>
        <w:t>υ</w:t>
      </w:r>
      <w:r w:rsidRPr="00226CF9">
        <w:rPr>
          <w:rFonts w:eastAsia="Arial"/>
          <w:i/>
          <w:iCs/>
          <w:color w:val="auto"/>
        </w:rPr>
        <w:t xml:space="preserve"> Σχ</w:t>
      </w:r>
      <w:r w:rsidR="00A52945">
        <w:rPr>
          <w:rFonts w:eastAsia="Arial"/>
          <w:i/>
          <w:iCs/>
          <w:color w:val="auto"/>
        </w:rPr>
        <w:t>ε</w:t>
      </w:r>
      <w:r w:rsidRPr="00226CF9">
        <w:rPr>
          <w:rFonts w:eastAsia="Arial"/>
          <w:i/>
          <w:iCs/>
          <w:color w:val="auto"/>
        </w:rPr>
        <w:t>δ</w:t>
      </w:r>
      <w:r w:rsidR="00A52945">
        <w:rPr>
          <w:rFonts w:eastAsia="Arial"/>
          <w:i/>
          <w:iCs/>
          <w:color w:val="auto"/>
        </w:rPr>
        <w:t>ί</w:t>
      </w:r>
      <w:r w:rsidRPr="00226CF9">
        <w:rPr>
          <w:rFonts w:eastAsia="Arial"/>
          <w:i/>
          <w:iCs/>
          <w:color w:val="auto"/>
        </w:rPr>
        <w:t>ο</w:t>
      </w:r>
      <w:r w:rsidR="00A52945">
        <w:rPr>
          <w:rFonts w:eastAsia="Arial"/>
          <w:i/>
          <w:iCs/>
          <w:color w:val="auto"/>
        </w:rPr>
        <w:t>υ</w:t>
      </w:r>
      <w:r w:rsidRPr="00226CF9">
        <w:rPr>
          <w:rFonts w:eastAsia="Arial"/>
          <w:i/>
          <w:iCs/>
          <w:color w:val="auto"/>
        </w:rPr>
        <w:t>.</w:t>
      </w:r>
    </w:p>
    <w:p w14:paraId="2AAD2A67" w14:textId="0DFD5822" w:rsidR="00497796" w:rsidRPr="00226CF9" w:rsidRDefault="00367D44" w:rsidP="00226CF9">
      <w:pPr>
        <w:pStyle w:val="Default"/>
        <w:numPr>
          <w:ilvl w:val="0"/>
          <w:numId w:val="4"/>
        </w:numPr>
        <w:adjustRightInd/>
        <w:contextualSpacing/>
        <w:jc w:val="both"/>
        <w:rPr>
          <w:rFonts w:eastAsia="Arial"/>
          <w:i/>
          <w:iCs/>
          <w:color w:val="auto"/>
        </w:rPr>
      </w:pPr>
      <w:r w:rsidRPr="00226CF9">
        <w:rPr>
          <w:rFonts w:eastAsia="Arial"/>
          <w:i/>
          <w:iCs/>
          <w:color w:val="auto"/>
        </w:rPr>
        <w:t>Πληρωμές €4</w:t>
      </w:r>
      <w:r w:rsidR="00FC1CFF">
        <w:rPr>
          <w:rFonts w:eastAsia="Arial"/>
          <w:i/>
          <w:iCs/>
          <w:color w:val="auto"/>
        </w:rPr>
        <w:t>6</w:t>
      </w:r>
      <w:r w:rsidRPr="00226CF9">
        <w:rPr>
          <w:rFonts w:eastAsia="Arial"/>
          <w:i/>
          <w:iCs/>
          <w:color w:val="auto"/>
        </w:rPr>
        <w:t xml:space="preserve">,1εκ. από την Ελληνική Τράπεζα προς την Κυπριακή Δημοκρατία ως εγγυήτρια του Σχεδίου. </w:t>
      </w:r>
    </w:p>
    <w:p w14:paraId="75498E5F" w14:textId="0CEC5D26" w:rsidR="00367D44" w:rsidRPr="00226CF9" w:rsidRDefault="00C925B0" w:rsidP="00226CF9">
      <w:pPr>
        <w:pStyle w:val="Default"/>
        <w:numPr>
          <w:ilvl w:val="0"/>
          <w:numId w:val="4"/>
        </w:numPr>
        <w:adjustRightInd/>
        <w:contextualSpacing/>
        <w:jc w:val="both"/>
        <w:rPr>
          <w:rFonts w:eastAsia="Arial"/>
          <w:i/>
          <w:iCs/>
          <w:color w:val="auto"/>
        </w:rPr>
      </w:pPr>
      <w:r>
        <w:rPr>
          <w:rFonts w:eastAsia="Arial"/>
          <w:i/>
          <w:iCs/>
          <w:color w:val="auto"/>
        </w:rPr>
        <w:lastRenderedPageBreak/>
        <w:t xml:space="preserve">Καταβολή </w:t>
      </w:r>
      <w:r w:rsidR="00367D44" w:rsidRPr="00226CF9">
        <w:rPr>
          <w:rFonts w:eastAsia="Arial"/>
          <w:i/>
          <w:iCs/>
          <w:color w:val="auto"/>
        </w:rPr>
        <w:t xml:space="preserve">€17,5εκ. από την ΚΕΔΙΠΕΣ προς την </w:t>
      </w:r>
      <w:proofErr w:type="spellStart"/>
      <w:r w:rsidR="00367D44" w:rsidRPr="00226CF9">
        <w:rPr>
          <w:rFonts w:eastAsia="Arial"/>
          <w:i/>
          <w:iCs/>
          <w:color w:val="auto"/>
        </w:rPr>
        <w:t>Eurobank</w:t>
      </w:r>
      <w:proofErr w:type="spellEnd"/>
      <w:r w:rsidR="00367D44" w:rsidRPr="00226CF9">
        <w:rPr>
          <w:rFonts w:eastAsia="Arial"/>
          <w:i/>
          <w:iCs/>
          <w:color w:val="auto"/>
        </w:rPr>
        <w:t xml:space="preserve"> </w:t>
      </w:r>
      <w:r w:rsidR="004F1A69" w:rsidRPr="00D32CBB">
        <w:rPr>
          <w:bCs/>
          <w:i/>
          <w:iCs/>
          <w:lang w:val="en-GB"/>
        </w:rPr>
        <w:t>Limited</w:t>
      </w:r>
      <w:r w:rsidR="004F1A69" w:rsidRPr="004F1A69" w:rsidDel="004F1A69">
        <w:rPr>
          <w:bCs/>
        </w:rPr>
        <w:t xml:space="preserve"> </w:t>
      </w:r>
      <w:r w:rsidR="00367D44" w:rsidRPr="00226CF9">
        <w:rPr>
          <w:rFonts w:eastAsia="Arial"/>
          <w:i/>
          <w:iCs/>
          <w:color w:val="auto"/>
        </w:rPr>
        <w:t>σε σχέση με τον τερματισμό του Σχεδίου και την απώλεια κάλυψης των εξυπηρετούμενων δανείων.</w:t>
      </w:r>
    </w:p>
    <w:p w14:paraId="77EAF05C" w14:textId="77777777" w:rsidR="00367D44" w:rsidRDefault="00367D44" w:rsidP="00ED3A9D">
      <w:pPr>
        <w:pStyle w:val="Default"/>
        <w:adjustRightInd/>
        <w:contextualSpacing/>
        <w:jc w:val="both"/>
        <w:rPr>
          <w:rFonts w:eastAsia="Arial"/>
          <w:i/>
          <w:iCs/>
          <w:color w:val="auto"/>
        </w:rPr>
      </w:pPr>
    </w:p>
    <w:p w14:paraId="377151E4" w14:textId="4B2AC89F" w:rsidR="00FF5ADD" w:rsidRPr="00FF5ADD" w:rsidRDefault="00FF5ADD" w:rsidP="00ED3A9D">
      <w:pPr>
        <w:pStyle w:val="Default"/>
        <w:adjustRightInd/>
        <w:contextualSpacing/>
        <w:jc w:val="both"/>
        <w:rPr>
          <w:rFonts w:eastAsia="Arial"/>
          <w:i/>
          <w:iCs/>
          <w:color w:val="auto"/>
        </w:rPr>
      </w:pPr>
      <w:r w:rsidRPr="00FF5ADD">
        <w:rPr>
          <w:rFonts w:eastAsia="Arial"/>
          <w:i/>
          <w:iCs/>
          <w:color w:val="auto"/>
        </w:rPr>
        <w:t>Το τελικό κόστος</w:t>
      </w:r>
      <w:r w:rsidR="00F84AA8" w:rsidRPr="006A6523">
        <w:rPr>
          <w:rFonts w:eastAsia="Arial"/>
          <w:i/>
          <w:iCs/>
          <w:color w:val="auto"/>
        </w:rPr>
        <w:t>,</w:t>
      </w:r>
      <w:r w:rsidRPr="00FF5ADD">
        <w:rPr>
          <w:rFonts w:eastAsia="Arial"/>
          <w:i/>
          <w:iCs/>
          <w:color w:val="auto"/>
        </w:rPr>
        <w:t xml:space="preserve"> ύψους</w:t>
      </w:r>
      <w:r w:rsidR="00497796">
        <w:rPr>
          <w:rFonts w:eastAsia="Arial"/>
          <w:i/>
          <w:iCs/>
          <w:color w:val="auto"/>
        </w:rPr>
        <w:t xml:space="preserve"> </w:t>
      </w:r>
      <w:r w:rsidRPr="00FF5ADD">
        <w:rPr>
          <w:rFonts w:eastAsia="Arial"/>
          <w:i/>
          <w:iCs/>
          <w:color w:val="auto"/>
        </w:rPr>
        <w:t>€7</w:t>
      </w:r>
      <w:r w:rsidR="00FC1CFF">
        <w:rPr>
          <w:rFonts w:eastAsia="Arial"/>
          <w:i/>
          <w:iCs/>
          <w:color w:val="auto"/>
        </w:rPr>
        <w:t>4</w:t>
      </w:r>
      <w:r w:rsidRPr="00FF5ADD">
        <w:rPr>
          <w:rFonts w:eastAsia="Arial"/>
          <w:i/>
          <w:iCs/>
          <w:color w:val="auto"/>
        </w:rPr>
        <w:t>εκ., α</w:t>
      </w:r>
      <w:r w:rsidR="006A6523">
        <w:rPr>
          <w:rFonts w:eastAsia="Arial"/>
          <w:i/>
          <w:iCs/>
          <w:color w:val="auto"/>
        </w:rPr>
        <w:t xml:space="preserve">ντιστοιχεί περίπου στο ήμισυ </w:t>
      </w:r>
      <w:r w:rsidRPr="00FF5ADD">
        <w:rPr>
          <w:rFonts w:eastAsia="Arial"/>
          <w:i/>
          <w:iCs/>
          <w:color w:val="auto"/>
        </w:rPr>
        <w:t>του βασικού σεναρίου εκτίμησης του 2018 ύψους €155εκ</w:t>
      </w:r>
      <w:r w:rsidR="00204F56">
        <w:rPr>
          <w:rFonts w:eastAsia="Arial"/>
          <w:i/>
          <w:iCs/>
          <w:color w:val="auto"/>
        </w:rPr>
        <w:t>.</w:t>
      </w:r>
      <w:r w:rsidRPr="00FF5ADD">
        <w:rPr>
          <w:rFonts w:eastAsia="Arial"/>
          <w:i/>
          <w:iCs/>
          <w:color w:val="auto"/>
        </w:rPr>
        <w:t xml:space="preserve">, ενώ δίδεται η δυνατότητα στην ΚΕΔΙΠΕΣ, μέσω της διαχείρισης του </w:t>
      </w:r>
      <w:proofErr w:type="spellStart"/>
      <w:r w:rsidRPr="00FF5ADD">
        <w:rPr>
          <w:rFonts w:eastAsia="Arial"/>
          <w:i/>
          <w:iCs/>
          <w:color w:val="auto"/>
        </w:rPr>
        <w:t>επαναγορασθέντος</w:t>
      </w:r>
      <w:proofErr w:type="spellEnd"/>
      <w:r w:rsidR="009E03BA">
        <w:rPr>
          <w:rFonts w:eastAsia="Arial"/>
          <w:i/>
          <w:iCs/>
          <w:color w:val="auto"/>
        </w:rPr>
        <w:t xml:space="preserve"> </w:t>
      </w:r>
      <w:r w:rsidRPr="00FF5ADD">
        <w:rPr>
          <w:rFonts w:eastAsia="Arial"/>
          <w:i/>
          <w:iCs/>
          <w:color w:val="auto"/>
        </w:rPr>
        <w:t xml:space="preserve">χαρτοφυλακίου, να μειώσει </w:t>
      </w:r>
      <w:r w:rsidR="006A6523">
        <w:rPr>
          <w:rFonts w:eastAsia="Arial"/>
          <w:i/>
          <w:iCs/>
          <w:color w:val="auto"/>
        </w:rPr>
        <w:t xml:space="preserve">περαιτέρω </w:t>
      </w:r>
      <w:r w:rsidRPr="00FF5ADD">
        <w:rPr>
          <w:rFonts w:eastAsia="Arial"/>
          <w:i/>
          <w:iCs/>
          <w:color w:val="auto"/>
        </w:rPr>
        <w:t xml:space="preserve">αυτό το κόστος. </w:t>
      </w:r>
    </w:p>
    <w:p w14:paraId="13A1756E" w14:textId="77777777" w:rsidR="00FF5ADD" w:rsidRPr="00FF5ADD" w:rsidRDefault="00FF5ADD" w:rsidP="00ED3A9D">
      <w:pPr>
        <w:pStyle w:val="Default"/>
        <w:adjustRightInd/>
        <w:contextualSpacing/>
        <w:jc w:val="both"/>
        <w:rPr>
          <w:rFonts w:eastAsia="Arial"/>
          <w:i/>
          <w:iCs/>
          <w:color w:val="auto"/>
        </w:rPr>
      </w:pPr>
    </w:p>
    <w:p w14:paraId="421B1908" w14:textId="494DA02B" w:rsidR="009E03BA" w:rsidRPr="009E03BA" w:rsidRDefault="00AD6D21" w:rsidP="00ED3A9D">
      <w:pPr>
        <w:pStyle w:val="Default"/>
        <w:adjustRightInd/>
        <w:contextualSpacing/>
        <w:jc w:val="both"/>
        <w:rPr>
          <w:rFonts w:eastAsia="Arial"/>
          <w:i/>
          <w:iCs/>
          <w:color w:val="auto"/>
        </w:rPr>
      </w:pPr>
      <w:r w:rsidRPr="0031021E">
        <w:rPr>
          <w:rFonts w:eastAsia="Arial"/>
          <w:i/>
          <w:iCs/>
          <w:color w:val="auto"/>
        </w:rPr>
        <w:t xml:space="preserve">Οι </w:t>
      </w:r>
      <w:r w:rsidR="00F82649" w:rsidRPr="0031021E">
        <w:rPr>
          <w:rFonts w:eastAsia="Arial"/>
          <w:i/>
          <w:iCs/>
          <w:color w:val="auto"/>
        </w:rPr>
        <w:t>καταβολές των €27</w:t>
      </w:r>
      <w:r w:rsidR="00B14CC1" w:rsidRPr="00B14CC1">
        <w:rPr>
          <w:rFonts w:eastAsia="Arial"/>
          <w:i/>
          <w:iCs/>
          <w:color w:val="auto"/>
        </w:rPr>
        <w:t>,</w:t>
      </w:r>
      <w:r w:rsidR="00F82649" w:rsidRPr="0031021E">
        <w:rPr>
          <w:rFonts w:eastAsia="Arial"/>
          <w:i/>
          <w:iCs/>
          <w:color w:val="auto"/>
        </w:rPr>
        <w:t>5εκ</w:t>
      </w:r>
      <w:r w:rsidR="00B14CC1" w:rsidRPr="00B14CC1">
        <w:rPr>
          <w:rFonts w:eastAsia="Arial"/>
          <w:i/>
          <w:iCs/>
          <w:color w:val="auto"/>
        </w:rPr>
        <w:t>.</w:t>
      </w:r>
      <w:r w:rsidR="00F82649" w:rsidRPr="0031021E">
        <w:rPr>
          <w:rFonts w:eastAsia="Arial"/>
          <w:i/>
          <w:iCs/>
          <w:color w:val="auto"/>
        </w:rPr>
        <w:t xml:space="preserve"> </w:t>
      </w:r>
      <w:r w:rsidR="00FF5ADD">
        <w:rPr>
          <w:rFonts w:eastAsia="Arial"/>
          <w:i/>
          <w:iCs/>
          <w:color w:val="auto"/>
        </w:rPr>
        <w:t>(€17,5εκ</w:t>
      </w:r>
      <w:r w:rsidR="00204F56">
        <w:rPr>
          <w:rFonts w:eastAsia="Arial"/>
          <w:i/>
          <w:iCs/>
          <w:color w:val="auto"/>
        </w:rPr>
        <w:t>.</w:t>
      </w:r>
      <w:r w:rsidR="00FF5ADD">
        <w:rPr>
          <w:rFonts w:eastAsia="Arial"/>
          <w:i/>
          <w:iCs/>
          <w:color w:val="auto"/>
        </w:rPr>
        <w:t xml:space="preserve"> για τερματισμό τ</w:t>
      </w:r>
      <w:r w:rsidR="006F6308">
        <w:rPr>
          <w:rFonts w:eastAsia="Arial"/>
          <w:i/>
          <w:iCs/>
          <w:color w:val="auto"/>
        </w:rPr>
        <w:t xml:space="preserve">ου </w:t>
      </w:r>
      <w:r w:rsidR="00FF5ADD" w:rsidRPr="0031021E">
        <w:rPr>
          <w:rFonts w:eastAsia="Arial"/>
          <w:i/>
          <w:iCs/>
          <w:color w:val="auto"/>
        </w:rPr>
        <w:t>Σχεδίου Εγγύησης Δανείων</w:t>
      </w:r>
      <w:r w:rsidR="00FF5ADD">
        <w:rPr>
          <w:rFonts w:eastAsia="Arial"/>
          <w:i/>
          <w:iCs/>
          <w:color w:val="auto"/>
        </w:rPr>
        <w:t xml:space="preserve"> και €10εκ</w:t>
      </w:r>
      <w:r w:rsidR="00204F56">
        <w:rPr>
          <w:rFonts w:eastAsia="Arial"/>
          <w:i/>
          <w:iCs/>
          <w:color w:val="auto"/>
        </w:rPr>
        <w:t>.</w:t>
      </w:r>
      <w:r w:rsidR="00FF5ADD">
        <w:rPr>
          <w:rFonts w:eastAsia="Arial"/>
          <w:i/>
          <w:iCs/>
          <w:color w:val="auto"/>
        </w:rPr>
        <w:t xml:space="preserve"> για τερματισμό της </w:t>
      </w:r>
      <w:r w:rsidR="009E03BA">
        <w:rPr>
          <w:rFonts w:eastAsia="Arial"/>
          <w:i/>
          <w:iCs/>
          <w:color w:val="auto"/>
        </w:rPr>
        <w:t>Σ</w:t>
      </w:r>
      <w:r w:rsidR="00FF5ADD">
        <w:rPr>
          <w:rFonts w:eastAsia="Arial"/>
          <w:i/>
          <w:iCs/>
          <w:color w:val="auto"/>
        </w:rPr>
        <w:t>υμφωνίας Μεταφοράς</w:t>
      </w:r>
      <w:r w:rsidR="009E03BA">
        <w:rPr>
          <w:rFonts w:eastAsia="Arial"/>
          <w:i/>
          <w:iCs/>
          <w:color w:val="auto"/>
        </w:rPr>
        <w:t xml:space="preserve"> Περιουσιακών Στοιχείων</w:t>
      </w:r>
      <w:r w:rsidR="00FF5ADD">
        <w:rPr>
          <w:rFonts w:eastAsia="Arial"/>
          <w:i/>
          <w:iCs/>
          <w:color w:val="auto"/>
        </w:rPr>
        <w:t xml:space="preserve">) καθώς και </w:t>
      </w:r>
      <w:r w:rsidR="009E03BA">
        <w:rPr>
          <w:rFonts w:eastAsia="Arial"/>
          <w:i/>
          <w:iCs/>
          <w:color w:val="auto"/>
        </w:rPr>
        <w:t>το κόστος επαναγοράς του χαρτοφυλακίου μη</w:t>
      </w:r>
      <w:r w:rsidR="006F6308">
        <w:rPr>
          <w:rFonts w:eastAsia="Arial"/>
          <w:i/>
          <w:iCs/>
          <w:color w:val="auto"/>
        </w:rPr>
        <w:t>-</w:t>
      </w:r>
      <w:r w:rsidR="009E03BA">
        <w:rPr>
          <w:rFonts w:eastAsia="Arial"/>
          <w:i/>
          <w:iCs/>
          <w:color w:val="auto"/>
        </w:rPr>
        <w:t xml:space="preserve">εξυπηρετούμενων χορηγήσεων </w:t>
      </w:r>
      <w:r w:rsidR="009E03BA" w:rsidRPr="00204F56">
        <w:rPr>
          <w:rFonts w:eastAsia="Arial"/>
          <w:i/>
          <w:iCs/>
          <w:color w:val="auto"/>
        </w:rPr>
        <w:t>που ήταν καλυμμένο</w:t>
      </w:r>
      <w:r w:rsidR="009E03BA">
        <w:rPr>
          <w:rFonts w:eastAsia="Arial"/>
          <w:i/>
          <w:iCs/>
          <w:color w:val="auto"/>
        </w:rPr>
        <w:t xml:space="preserve"> από το Σχέδιο Εγγύησης Δανείων, έχουν ως αποτέλεσμα </w:t>
      </w:r>
      <w:r w:rsidR="003275D4" w:rsidRPr="0031021E">
        <w:rPr>
          <w:rFonts w:eastAsia="Arial"/>
          <w:i/>
          <w:iCs/>
          <w:color w:val="auto"/>
        </w:rPr>
        <w:t xml:space="preserve">βραχυπρόθεσμα </w:t>
      </w:r>
      <w:r w:rsidR="00204F56">
        <w:rPr>
          <w:rFonts w:eastAsia="Arial"/>
          <w:i/>
          <w:iCs/>
          <w:color w:val="auto"/>
        </w:rPr>
        <w:t>ν</w:t>
      </w:r>
      <w:r w:rsidR="003275D4" w:rsidRPr="0031021E">
        <w:rPr>
          <w:rFonts w:eastAsia="Arial"/>
          <w:i/>
          <w:iCs/>
          <w:color w:val="auto"/>
        </w:rPr>
        <w:t>α μειωθεί ο ρυθμός αποπληρωμής της κρατικής βοήθειας</w:t>
      </w:r>
      <w:r w:rsidR="009E03BA">
        <w:rPr>
          <w:rFonts w:eastAsia="Arial"/>
          <w:i/>
          <w:iCs/>
          <w:color w:val="auto"/>
        </w:rPr>
        <w:t xml:space="preserve">, όμως η </w:t>
      </w:r>
      <w:r w:rsidR="009E03BA" w:rsidRPr="009E03BA">
        <w:rPr>
          <w:rFonts w:eastAsia="Arial"/>
          <w:i/>
          <w:iCs/>
          <w:color w:val="auto"/>
        </w:rPr>
        <w:t>μεσοπρόθεσμη επίδραση θα είναι θετική περιορίζοντας παράλληλα τους κινδύνου</w:t>
      </w:r>
      <w:r w:rsidR="009E03BA">
        <w:rPr>
          <w:rFonts w:eastAsia="Arial"/>
          <w:i/>
          <w:iCs/>
          <w:color w:val="auto"/>
        </w:rPr>
        <w:t>ς</w:t>
      </w:r>
      <w:r w:rsidR="009E03BA" w:rsidRPr="009E03BA">
        <w:rPr>
          <w:rFonts w:eastAsia="Arial"/>
          <w:i/>
          <w:iCs/>
          <w:color w:val="auto"/>
        </w:rPr>
        <w:t xml:space="preserve"> για την ΚΕΔΙΠΕΣ/ΣΕΔΙΠΕΣ και την Κυπριακή Δημοκρατία.  </w:t>
      </w:r>
    </w:p>
    <w:p w14:paraId="16D57665" w14:textId="77777777" w:rsidR="009E03BA" w:rsidRPr="009E03BA" w:rsidRDefault="009E03BA" w:rsidP="00ED3A9D">
      <w:pPr>
        <w:pStyle w:val="Default"/>
        <w:adjustRightInd/>
        <w:contextualSpacing/>
        <w:jc w:val="both"/>
        <w:rPr>
          <w:rFonts w:eastAsia="Arial"/>
          <w:i/>
          <w:iCs/>
          <w:color w:val="auto"/>
        </w:rPr>
      </w:pPr>
    </w:p>
    <w:p w14:paraId="36C67AD3" w14:textId="752DAAAF" w:rsidR="009E03BA" w:rsidRDefault="009E03BA" w:rsidP="00ED3A9D">
      <w:pPr>
        <w:pStyle w:val="Default"/>
        <w:adjustRightInd/>
        <w:contextualSpacing/>
        <w:jc w:val="both"/>
        <w:rPr>
          <w:rFonts w:eastAsia="Arial"/>
          <w:i/>
          <w:iCs/>
          <w:color w:val="auto"/>
        </w:rPr>
      </w:pPr>
      <w:r w:rsidRPr="009E03BA">
        <w:rPr>
          <w:rFonts w:eastAsia="Arial"/>
          <w:i/>
          <w:iCs/>
          <w:color w:val="auto"/>
        </w:rPr>
        <w:t>Η σύναψη νέα</w:t>
      </w:r>
      <w:r w:rsidR="00204F56">
        <w:rPr>
          <w:rFonts w:eastAsia="Arial"/>
          <w:i/>
          <w:iCs/>
          <w:color w:val="auto"/>
        </w:rPr>
        <w:t>ς</w:t>
      </w:r>
      <w:r w:rsidRPr="009E03BA">
        <w:rPr>
          <w:rFonts w:eastAsia="Arial"/>
          <w:i/>
          <w:iCs/>
          <w:color w:val="auto"/>
        </w:rPr>
        <w:t xml:space="preserve"> συμφωνία</w:t>
      </w:r>
      <w:r w:rsidR="00204F56">
        <w:rPr>
          <w:rFonts w:eastAsia="Arial"/>
          <w:i/>
          <w:iCs/>
          <w:color w:val="auto"/>
        </w:rPr>
        <w:t>ς</w:t>
      </w:r>
      <w:r w:rsidRPr="009E03BA">
        <w:rPr>
          <w:rFonts w:eastAsia="Arial"/>
          <w:i/>
          <w:iCs/>
          <w:color w:val="auto"/>
        </w:rPr>
        <w:t xml:space="preserve"> διαχείρισης του χαρτοφυλακίου με τον υφιστάμενο διαχειριστή Themis Portfolio Management </w:t>
      </w:r>
      <w:proofErr w:type="spellStart"/>
      <w:r w:rsidRPr="009E03BA">
        <w:rPr>
          <w:rFonts w:eastAsia="Arial"/>
          <w:i/>
          <w:iCs/>
          <w:color w:val="auto"/>
        </w:rPr>
        <w:t>Limited</w:t>
      </w:r>
      <w:proofErr w:type="spellEnd"/>
      <w:r w:rsidRPr="009E03BA">
        <w:rPr>
          <w:rFonts w:eastAsia="Arial"/>
          <w:i/>
          <w:iCs/>
          <w:color w:val="auto"/>
        </w:rPr>
        <w:t xml:space="preserve"> </w:t>
      </w:r>
      <w:r>
        <w:rPr>
          <w:rFonts w:eastAsia="Arial"/>
          <w:i/>
          <w:iCs/>
          <w:color w:val="auto"/>
        </w:rPr>
        <w:t>είναι επίσης θετική εξέλιξη αφού ως διαχειριστής η εταιρεία έχει επιδείξει πολύ καλά αποτελέσματα</w:t>
      </w:r>
      <w:r w:rsidR="00C96943">
        <w:rPr>
          <w:rFonts w:eastAsia="Arial"/>
          <w:i/>
          <w:iCs/>
          <w:color w:val="auto"/>
        </w:rPr>
        <w:t>,</w:t>
      </w:r>
      <w:r>
        <w:rPr>
          <w:rFonts w:eastAsia="Arial"/>
          <w:i/>
          <w:iCs/>
          <w:color w:val="auto"/>
        </w:rPr>
        <w:t xml:space="preserve"> ενώ διασφαλίζεται η συνέχεια στη</w:t>
      </w:r>
      <w:r w:rsidR="00204F56">
        <w:rPr>
          <w:rFonts w:eastAsia="Arial"/>
          <w:i/>
          <w:iCs/>
          <w:color w:val="auto"/>
        </w:rPr>
        <w:t>ν</w:t>
      </w:r>
      <w:r>
        <w:rPr>
          <w:rFonts w:eastAsia="Arial"/>
          <w:i/>
          <w:iCs/>
          <w:color w:val="auto"/>
        </w:rPr>
        <w:t xml:space="preserve"> εξυπηρέτηση του χαρτοφυλακίου. </w:t>
      </w:r>
    </w:p>
    <w:p w14:paraId="22C2E3AC" w14:textId="77777777" w:rsidR="009E03BA" w:rsidRDefault="009E03BA" w:rsidP="00ED3A9D">
      <w:pPr>
        <w:pStyle w:val="Default"/>
        <w:adjustRightInd/>
        <w:contextualSpacing/>
        <w:jc w:val="both"/>
        <w:rPr>
          <w:rFonts w:eastAsia="Arial"/>
          <w:i/>
          <w:iCs/>
          <w:color w:val="auto"/>
        </w:rPr>
      </w:pPr>
    </w:p>
    <w:p w14:paraId="4DDC4850" w14:textId="66216A5A" w:rsidR="00A04D67" w:rsidRDefault="009E03BA" w:rsidP="00ED3A9D">
      <w:pPr>
        <w:pStyle w:val="Default"/>
        <w:adjustRightInd/>
        <w:contextualSpacing/>
        <w:jc w:val="both"/>
        <w:rPr>
          <w:rFonts w:eastAsia="Arial"/>
          <w:i/>
          <w:iCs/>
          <w:color w:val="auto"/>
        </w:rPr>
      </w:pPr>
      <w:r>
        <w:rPr>
          <w:rFonts w:eastAsia="Arial"/>
          <w:i/>
          <w:iCs/>
          <w:color w:val="auto"/>
        </w:rPr>
        <w:t>Τέλος</w:t>
      </w:r>
      <w:r w:rsidR="00204F56">
        <w:rPr>
          <w:rFonts w:eastAsia="Arial"/>
          <w:i/>
          <w:iCs/>
          <w:color w:val="auto"/>
        </w:rPr>
        <w:t>,</w:t>
      </w:r>
      <w:r>
        <w:rPr>
          <w:rFonts w:eastAsia="Arial"/>
          <w:i/>
          <w:iCs/>
          <w:color w:val="auto"/>
        </w:rPr>
        <w:t xml:space="preserve"> ο τερματισμός των συμφωνιών του 2018 επιτρέπει στην ΚΕΔΙΠΕΣ να επικεντρωθεί απερίσπαστα στην αποστολή της για </w:t>
      </w:r>
      <w:r w:rsidR="0048662C">
        <w:rPr>
          <w:rFonts w:eastAsia="Arial"/>
          <w:i/>
          <w:iCs/>
          <w:color w:val="auto"/>
        </w:rPr>
        <w:t>την</w:t>
      </w:r>
      <w:r>
        <w:rPr>
          <w:rFonts w:eastAsia="Arial"/>
          <w:i/>
          <w:iCs/>
          <w:color w:val="auto"/>
        </w:rPr>
        <w:t xml:space="preserve"> αποπληρωμή της κρατικής βοήθειας που έλαβε η πρώην Συνεργατική Κ</w:t>
      </w:r>
      <w:r w:rsidR="003F203D">
        <w:rPr>
          <w:rFonts w:eastAsia="Arial"/>
          <w:i/>
          <w:iCs/>
          <w:color w:val="auto"/>
        </w:rPr>
        <w:t xml:space="preserve">υπριακή </w:t>
      </w:r>
      <w:r>
        <w:rPr>
          <w:rFonts w:eastAsia="Arial"/>
          <w:i/>
          <w:iCs/>
          <w:color w:val="auto"/>
        </w:rPr>
        <w:t>Τράπεζα το 2018.</w:t>
      </w:r>
      <w:r w:rsidR="0074628F">
        <w:rPr>
          <w:rFonts w:eastAsia="Arial"/>
          <w:i/>
          <w:iCs/>
          <w:color w:val="auto"/>
        </w:rPr>
        <w:t>»</w:t>
      </w:r>
      <w:r w:rsidR="0090276F">
        <w:rPr>
          <w:rFonts w:eastAsia="Arial"/>
          <w:i/>
          <w:iCs/>
          <w:color w:val="auto"/>
        </w:rPr>
        <w:t xml:space="preserve"> </w:t>
      </w:r>
    </w:p>
    <w:sectPr w:rsidR="00A04D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2A7F" w14:textId="77777777" w:rsidR="007E4B46" w:rsidRDefault="007E4B46" w:rsidP="00A65507">
      <w:pPr>
        <w:spacing w:after="0" w:line="240" w:lineRule="auto"/>
      </w:pPr>
      <w:r>
        <w:separator/>
      </w:r>
    </w:p>
  </w:endnote>
  <w:endnote w:type="continuationSeparator" w:id="0">
    <w:p w14:paraId="1A9680EF" w14:textId="77777777" w:rsidR="007E4B46" w:rsidRDefault="007E4B46" w:rsidP="00A65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70D2" w14:textId="77777777" w:rsidR="00A81CEE" w:rsidRDefault="00A81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CCCD6" w14:textId="3E524A74" w:rsidR="00A65507" w:rsidRDefault="00A65507">
    <w:pPr>
      <w:pStyle w:val="Footer"/>
    </w:pPr>
    <w:r w:rsidRPr="008F74C1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5FF0E2B" wp14:editId="29DE4640">
          <wp:simplePos x="0" y="0"/>
          <wp:positionH relativeFrom="column">
            <wp:posOffset>-1123950</wp:posOffset>
          </wp:positionH>
          <wp:positionV relativeFrom="paragraph">
            <wp:posOffset>-295275</wp:posOffset>
          </wp:positionV>
          <wp:extent cx="7708900" cy="762000"/>
          <wp:effectExtent l="0" t="0" r="6350" b="0"/>
          <wp:wrapNone/>
          <wp:docPr id="1" name="Picture 0" descr="deltio typou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tio typou-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089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DE2A" w14:textId="77777777" w:rsidR="00A81CEE" w:rsidRDefault="00A81C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09A6" w14:textId="77777777" w:rsidR="007E4B46" w:rsidRDefault="007E4B46" w:rsidP="00A65507">
      <w:pPr>
        <w:spacing w:after="0" w:line="240" w:lineRule="auto"/>
      </w:pPr>
      <w:r>
        <w:separator/>
      </w:r>
    </w:p>
  </w:footnote>
  <w:footnote w:type="continuationSeparator" w:id="0">
    <w:p w14:paraId="2B781F0A" w14:textId="77777777" w:rsidR="007E4B46" w:rsidRDefault="007E4B46" w:rsidP="00A65507">
      <w:pPr>
        <w:spacing w:after="0" w:line="240" w:lineRule="auto"/>
      </w:pPr>
      <w:r>
        <w:continuationSeparator/>
      </w:r>
    </w:p>
  </w:footnote>
  <w:footnote w:id="1">
    <w:p w14:paraId="47584C5A" w14:textId="47865966" w:rsidR="00ED6EA8" w:rsidRPr="00260362" w:rsidRDefault="00ED6E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Asset</w:t>
      </w:r>
      <w:r w:rsidRPr="00260362">
        <w:t xml:space="preserve"> </w:t>
      </w:r>
      <w:r>
        <w:rPr>
          <w:lang w:val="en-US"/>
        </w:rPr>
        <w:t>Protection</w:t>
      </w:r>
      <w:r w:rsidRPr="00260362">
        <w:t xml:space="preserve"> </w:t>
      </w:r>
      <w:r>
        <w:rPr>
          <w:lang w:val="en-US"/>
        </w:rPr>
        <w:t>Scheme</w:t>
      </w:r>
    </w:p>
  </w:footnote>
  <w:footnote w:id="2">
    <w:p w14:paraId="2A5BBC77" w14:textId="44A3541B" w:rsidR="00C4527D" w:rsidRDefault="00C4527D">
      <w:pPr>
        <w:pStyle w:val="FootnoteText"/>
      </w:pPr>
      <w:r>
        <w:rPr>
          <w:rStyle w:val="FootnoteReference"/>
        </w:rPr>
        <w:footnoteRef/>
      </w:r>
      <w:r>
        <w:t xml:space="preserve"> Η τελική τιμή αγοράς θα καθοριστεί με βάση τα τελικά στοιχεία μέχρι την ημερομηνία ολοκλήρωσης, δηλαδή 30/1/2026.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AC05" w14:textId="77777777" w:rsidR="00A81CEE" w:rsidRDefault="00A81C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2FCC" w14:textId="4C89A11E" w:rsidR="00A81CEE" w:rsidRDefault="00A81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9E08" w14:textId="77777777" w:rsidR="00A81CEE" w:rsidRDefault="00A81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5F37"/>
    <w:multiLevelType w:val="hybridMultilevel"/>
    <w:tmpl w:val="3A08A6E4"/>
    <w:lvl w:ilvl="0" w:tplc="F6A83A9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97D71"/>
    <w:multiLevelType w:val="hybridMultilevel"/>
    <w:tmpl w:val="D5524876"/>
    <w:lvl w:ilvl="0" w:tplc="5422368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472D11"/>
    <w:multiLevelType w:val="hybridMultilevel"/>
    <w:tmpl w:val="BA2A833C"/>
    <w:lvl w:ilvl="0" w:tplc="2222D3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E148B"/>
    <w:multiLevelType w:val="hybridMultilevel"/>
    <w:tmpl w:val="749CE9D2"/>
    <w:lvl w:ilvl="0" w:tplc="0408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5FF92885"/>
    <w:multiLevelType w:val="hybridMultilevel"/>
    <w:tmpl w:val="B9962AEE"/>
    <w:lvl w:ilvl="0" w:tplc="FE5CD8C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713881">
    <w:abstractNumId w:val="0"/>
  </w:num>
  <w:num w:numId="2" w16cid:durableId="1813523635">
    <w:abstractNumId w:val="3"/>
  </w:num>
  <w:num w:numId="3" w16cid:durableId="1023625596">
    <w:abstractNumId w:val="2"/>
  </w:num>
  <w:num w:numId="4" w16cid:durableId="301424168">
    <w:abstractNumId w:val="4"/>
  </w:num>
  <w:num w:numId="5" w16cid:durableId="125143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115"/>
    <w:rsid w:val="00002BFC"/>
    <w:rsid w:val="00037FE9"/>
    <w:rsid w:val="0004267B"/>
    <w:rsid w:val="00044C2D"/>
    <w:rsid w:val="00046049"/>
    <w:rsid w:val="0005592D"/>
    <w:rsid w:val="0006790D"/>
    <w:rsid w:val="00070663"/>
    <w:rsid w:val="0007240D"/>
    <w:rsid w:val="00090DE3"/>
    <w:rsid w:val="000A5A0F"/>
    <w:rsid w:val="000A64CC"/>
    <w:rsid w:val="000B7D81"/>
    <w:rsid w:val="000C67F8"/>
    <w:rsid w:val="000D515A"/>
    <w:rsid w:val="000E1F01"/>
    <w:rsid w:val="000E2FDD"/>
    <w:rsid w:val="000E3C2C"/>
    <w:rsid w:val="000F00D5"/>
    <w:rsid w:val="000F7B73"/>
    <w:rsid w:val="001002ED"/>
    <w:rsid w:val="001063EF"/>
    <w:rsid w:val="00110649"/>
    <w:rsid w:val="00114104"/>
    <w:rsid w:val="00117859"/>
    <w:rsid w:val="00123E91"/>
    <w:rsid w:val="00134CDD"/>
    <w:rsid w:val="00135299"/>
    <w:rsid w:val="00135B6D"/>
    <w:rsid w:val="00141AF9"/>
    <w:rsid w:val="00144961"/>
    <w:rsid w:val="00152FEF"/>
    <w:rsid w:val="00155060"/>
    <w:rsid w:val="0016008E"/>
    <w:rsid w:val="00164C7E"/>
    <w:rsid w:val="00177030"/>
    <w:rsid w:val="00186155"/>
    <w:rsid w:val="00195541"/>
    <w:rsid w:val="001971A5"/>
    <w:rsid w:val="001A4935"/>
    <w:rsid w:val="001C027A"/>
    <w:rsid w:val="001C72A5"/>
    <w:rsid w:val="001D35D8"/>
    <w:rsid w:val="001F00BE"/>
    <w:rsid w:val="001F1FE5"/>
    <w:rsid w:val="001F3514"/>
    <w:rsid w:val="001F5CAF"/>
    <w:rsid w:val="00200CC4"/>
    <w:rsid w:val="00204F56"/>
    <w:rsid w:val="00215790"/>
    <w:rsid w:val="00217505"/>
    <w:rsid w:val="00221D0C"/>
    <w:rsid w:val="0022270D"/>
    <w:rsid w:val="0022377B"/>
    <w:rsid w:val="00226CF9"/>
    <w:rsid w:val="0024583A"/>
    <w:rsid w:val="0025203D"/>
    <w:rsid w:val="00254B1B"/>
    <w:rsid w:val="00260362"/>
    <w:rsid w:val="0026322F"/>
    <w:rsid w:val="00263BDB"/>
    <w:rsid w:val="00267298"/>
    <w:rsid w:val="00275B6A"/>
    <w:rsid w:val="00286F87"/>
    <w:rsid w:val="0029305C"/>
    <w:rsid w:val="002A3BB5"/>
    <w:rsid w:val="002A63E5"/>
    <w:rsid w:val="002D5F35"/>
    <w:rsid w:val="002F34F0"/>
    <w:rsid w:val="002F596A"/>
    <w:rsid w:val="002F657B"/>
    <w:rsid w:val="0031021E"/>
    <w:rsid w:val="0031390B"/>
    <w:rsid w:val="0031557B"/>
    <w:rsid w:val="003178AC"/>
    <w:rsid w:val="00317DB7"/>
    <w:rsid w:val="003275D4"/>
    <w:rsid w:val="00367D44"/>
    <w:rsid w:val="0037364E"/>
    <w:rsid w:val="003869A7"/>
    <w:rsid w:val="003A293A"/>
    <w:rsid w:val="003A44D4"/>
    <w:rsid w:val="003C0279"/>
    <w:rsid w:val="003C6947"/>
    <w:rsid w:val="003E6186"/>
    <w:rsid w:val="003F203D"/>
    <w:rsid w:val="003F3D51"/>
    <w:rsid w:val="003F5303"/>
    <w:rsid w:val="004025D4"/>
    <w:rsid w:val="00402D6B"/>
    <w:rsid w:val="00414072"/>
    <w:rsid w:val="0041583E"/>
    <w:rsid w:val="004434B9"/>
    <w:rsid w:val="00443C12"/>
    <w:rsid w:val="00445208"/>
    <w:rsid w:val="00450C84"/>
    <w:rsid w:val="00451E92"/>
    <w:rsid w:val="00451FEB"/>
    <w:rsid w:val="004527F1"/>
    <w:rsid w:val="00453CC5"/>
    <w:rsid w:val="00482E8C"/>
    <w:rsid w:val="00485F2C"/>
    <w:rsid w:val="0048624B"/>
    <w:rsid w:val="004862C4"/>
    <w:rsid w:val="0048662C"/>
    <w:rsid w:val="00486C25"/>
    <w:rsid w:val="00490DF7"/>
    <w:rsid w:val="00497796"/>
    <w:rsid w:val="004A6754"/>
    <w:rsid w:val="004C5D0E"/>
    <w:rsid w:val="004F1A69"/>
    <w:rsid w:val="004F2D91"/>
    <w:rsid w:val="00501915"/>
    <w:rsid w:val="00502166"/>
    <w:rsid w:val="00505AEC"/>
    <w:rsid w:val="005130AD"/>
    <w:rsid w:val="00517A99"/>
    <w:rsid w:val="0052346A"/>
    <w:rsid w:val="00526365"/>
    <w:rsid w:val="00537D97"/>
    <w:rsid w:val="00542C8A"/>
    <w:rsid w:val="00544330"/>
    <w:rsid w:val="00556314"/>
    <w:rsid w:val="005637B6"/>
    <w:rsid w:val="00570234"/>
    <w:rsid w:val="005757FC"/>
    <w:rsid w:val="005908FE"/>
    <w:rsid w:val="005A4790"/>
    <w:rsid w:val="005A65A6"/>
    <w:rsid w:val="005B1874"/>
    <w:rsid w:val="005B39FD"/>
    <w:rsid w:val="005B4C8C"/>
    <w:rsid w:val="005B7D80"/>
    <w:rsid w:val="005C46BD"/>
    <w:rsid w:val="005D06D7"/>
    <w:rsid w:val="005D52D1"/>
    <w:rsid w:val="005E4486"/>
    <w:rsid w:val="005E537B"/>
    <w:rsid w:val="005F0697"/>
    <w:rsid w:val="005F45E9"/>
    <w:rsid w:val="0060266D"/>
    <w:rsid w:val="0060462E"/>
    <w:rsid w:val="00605937"/>
    <w:rsid w:val="00615584"/>
    <w:rsid w:val="00620737"/>
    <w:rsid w:val="00636871"/>
    <w:rsid w:val="006376DF"/>
    <w:rsid w:val="00640BF4"/>
    <w:rsid w:val="006534D4"/>
    <w:rsid w:val="00662D93"/>
    <w:rsid w:val="00670151"/>
    <w:rsid w:val="0067052D"/>
    <w:rsid w:val="00673F62"/>
    <w:rsid w:val="00681CC9"/>
    <w:rsid w:val="006947D6"/>
    <w:rsid w:val="0069577E"/>
    <w:rsid w:val="006A02B6"/>
    <w:rsid w:val="006A1430"/>
    <w:rsid w:val="006A2D39"/>
    <w:rsid w:val="006A3BBA"/>
    <w:rsid w:val="006A6523"/>
    <w:rsid w:val="006A6A4D"/>
    <w:rsid w:val="006B1C26"/>
    <w:rsid w:val="006B1C93"/>
    <w:rsid w:val="006B4321"/>
    <w:rsid w:val="006C114A"/>
    <w:rsid w:val="006C76B9"/>
    <w:rsid w:val="006D344E"/>
    <w:rsid w:val="006D5715"/>
    <w:rsid w:val="006D5C3F"/>
    <w:rsid w:val="006E3621"/>
    <w:rsid w:val="006F1612"/>
    <w:rsid w:val="006F1C4D"/>
    <w:rsid w:val="006F6308"/>
    <w:rsid w:val="00700099"/>
    <w:rsid w:val="00700660"/>
    <w:rsid w:val="0070210F"/>
    <w:rsid w:val="00705E2D"/>
    <w:rsid w:val="00706568"/>
    <w:rsid w:val="00707791"/>
    <w:rsid w:val="00712767"/>
    <w:rsid w:val="00714157"/>
    <w:rsid w:val="00724FCE"/>
    <w:rsid w:val="007370CE"/>
    <w:rsid w:val="0074628F"/>
    <w:rsid w:val="00747F0E"/>
    <w:rsid w:val="00762C47"/>
    <w:rsid w:val="00763678"/>
    <w:rsid w:val="007637C6"/>
    <w:rsid w:val="00772E07"/>
    <w:rsid w:val="0079581D"/>
    <w:rsid w:val="0079638C"/>
    <w:rsid w:val="007A4B89"/>
    <w:rsid w:val="007A5BA3"/>
    <w:rsid w:val="007C1399"/>
    <w:rsid w:val="007C17EA"/>
    <w:rsid w:val="007C2D4F"/>
    <w:rsid w:val="007D2D83"/>
    <w:rsid w:val="007E32DF"/>
    <w:rsid w:val="007E3A8E"/>
    <w:rsid w:val="007E4B46"/>
    <w:rsid w:val="007E6E59"/>
    <w:rsid w:val="007F7219"/>
    <w:rsid w:val="00832720"/>
    <w:rsid w:val="00832903"/>
    <w:rsid w:val="008362AB"/>
    <w:rsid w:val="00840F38"/>
    <w:rsid w:val="00862CD8"/>
    <w:rsid w:val="00863FE5"/>
    <w:rsid w:val="00865949"/>
    <w:rsid w:val="008673D1"/>
    <w:rsid w:val="00872ED7"/>
    <w:rsid w:val="00886935"/>
    <w:rsid w:val="00892604"/>
    <w:rsid w:val="00895F99"/>
    <w:rsid w:val="008A3CF0"/>
    <w:rsid w:val="008B670A"/>
    <w:rsid w:val="008C27E9"/>
    <w:rsid w:val="008C5F6A"/>
    <w:rsid w:val="008D0D6F"/>
    <w:rsid w:val="008D3E89"/>
    <w:rsid w:val="008D4A83"/>
    <w:rsid w:val="008E0AE7"/>
    <w:rsid w:val="008E7B9F"/>
    <w:rsid w:val="0090276F"/>
    <w:rsid w:val="00916A87"/>
    <w:rsid w:val="00917C00"/>
    <w:rsid w:val="00927A53"/>
    <w:rsid w:val="009348AF"/>
    <w:rsid w:val="00936DA3"/>
    <w:rsid w:val="00941E6D"/>
    <w:rsid w:val="00966CDF"/>
    <w:rsid w:val="00982CFF"/>
    <w:rsid w:val="009858E2"/>
    <w:rsid w:val="00987AF6"/>
    <w:rsid w:val="00990B7F"/>
    <w:rsid w:val="009925A4"/>
    <w:rsid w:val="00993B8E"/>
    <w:rsid w:val="009954D9"/>
    <w:rsid w:val="009955D2"/>
    <w:rsid w:val="009959DD"/>
    <w:rsid w:val="009966C8"/>
    <w:rsid w:val="009B10F0"/>
    <w:rsid w:val="009B4770"/>
    <w:rsid w:val="009E03BA"/>
    <w:rsid w:val="009E4DF7"/>
    <w:rsid w:val="009E4E9B"/>
    <w:rsid w:val="00A04D67"/>
    <w:rsid w:val="00A20998"/>
    <w:rsid w:val="00A24A17"/>
    <w:rsid w:val="00A478E2"/>
    <w:rsid w:val="00A50EE3"/>
    <w:rsid w:val="00A525EF"/>
    <w:rsid w:val="00A52945"/>
    <w:rsid w:val="00A6296B"/>
    <w:rsid w:val="00A65345"/>
    <w:rsid w:val="00A65507"/>
    <w:rsid w:val="00A73522"/>
    <w:rsid w:val="00A7649E"/>
    <w:rsid w:val="00A81CEE"/>
    <w:rsid w:val="00A96769"/>
    <w:rsid w:val="00AC1EC0"/>
    <w:rsid w:val="00AC3AAB"/>
    <w:rsid w:val="00AD30D6"/>
    <w:rsid w:val="00AD4D49"/>
    <w:rsid w:val="00AD6D21"/>
    <w:rsid w:val="00AD712E"/>
    <w:rsid w:val="00AE0020"/>
    <w:rsid w:val="00AE2115"/>
    <w:rsid w:val="00AF0A14"/>
    <w:rsid w:val="00AF6D98"/>
    <w:rsid w:val="00AF7F85"/>
    <w:rsid w:val="00B01549"/>
    <w:rsid w:val="00B11EC7"/>
    <w:rsid w:val="00B14CC1"/>
    <w:rsid w:val="00B220EA"/>
    <w:rsid w:val="00B24AE8"/>
    <w:rsid w:val="00B266F0"/>
    <w:rsid w:val="00B3329E"/>
    <w:rsid w:val="00B35C2A"/>
    <w:rsid w:val="00B555AB"/>
    <w:rsid w:val="00B60B21"/>
    <w:rsid w:val="00B86DB6"/>
    <w:rsid w:val="00B95355"/>
    <w:rsid w:val="00BC2C0A"/>
    <w:rsid w:val="00BD12FF"/>
    <w:rsid w:val="00BF7263"/>
    <w:rsid w:val="00C0043D"/>
    <w:rsid w:val="00C01228"/>
    <w:rsid w:val="00C1604D"/>
    <w:rsid w:val="00C21CCC"/>
    <w:rsid w:val="00C2759F"/>
    <w:rsid w:val="00C33C11"/>
    <w:rsid w:val="00C35980"/>
    <w:rsid w:val="00C40EF3"/>
    <w:rsid w:val="00C42CBB"/>
    <w:rsid w:val="00C4527D"/>
    <w:rsid w:val="00C50C82"/>
    <w:rsid w:val="00C5148C"/>
    <w:rsid w:val="00C547C4"/>
    <w:rsid w:val="00C61895"/>
    <w:rsid w:val="00C62906"/>
    <w:rsid w:val="00C67D0D"/>
    <w:rsid w:val="00C70562"/>
    <w:rsid w:val="00C81034"/>
    <w:rsid w:val="00C85ED7"/>
    <w:rsid w:val="00C925B0"/>
    <w:rsid w:val="00C96943"/>
    <w:rsid w:val="00CA5AD6"/>
    <w:rsid w:val="00CA6E0F"/>
    <w:rsid w:val="00CB22A0"/>
    <w:rsid w:val="00CB5375"/>
    <w:rsid w:val="00CB752A"/>
    <w:rsid w:val="00CF4572"/>
    <w:rsid w:val="00CF5EFD"/>
    <w:rsid w:val="00D006A2"/>
    <w:rsid w:val="00D01651"/>
    <w:rsid w:val="00D164B4"/>
    <w:rsid w:val="00D32CBB"/>
    <w:rsid w:val="00D40D98"/>
    <w:rsid w:val="00D54AA3"/>
    <w:rsid w:val="00D55A3B"/>
    <w:rsid w:val="00D60783"/>
    <w:rsid w:val="00D6578D"/>
    <w:rsid w:val="00D876E3"/>
    <w:rsid w:val="00D9151A"/>
    <w:rsid w:val="00D91B4C"/>
    <w:rsid w:val="00D921C6"/>
    <w:rsid w:val="00D97A59"/>
    <w:rsid w:val="00DA61BF"/>
    <w:rsid w:val="00DC0431"/>
    <w:rsid w:val="00DC24F1"/>
    <w:rsid w:val="00DC4282"/>
    <w:rsid w:val="00DC496D"/>
    <w:rsid w:val="00DD577A"/>
    <w:rsid w:val="00DE17AB"/>
    <w:rsid w:val="00DF0431"/>
    <w:rsid w:val="00DF2D16"/>
    <w:rsid w:val="00DF3F9F"/>
    <w:rsid w:val="00DF63CE"/>
    <w:rsid w:val="00DF6BF4"/>
    <w:rsid w:val="00E0015A"/>
    <w:rsid w:val="00E04D03"/>
    <w:rsid w:val="00E04F7D"/>
    <w:rsid w:val="00E20DE5"/>
    <w:rsid w:val="00E41766"/>
    <w:rsid w:val="00E41CEA"/>
    <w:rsid w:val="00E500AC"/>
    <w:rsid w:val="00E5100C"/>
    <w:rsid w:val="00E51555"/>
    <w:rsid w:val="00E54ABB"/>
    <w:rsid w:val="00E55759"/>
    <w:rsid w:val="00E5576A"/>
    <w:rsid w:val="00E612ED"/>
    <w:rsid w:val="00E7787A"/>
    <w:rsid w:val="00E80392"/>
    <w:rsid w:val="00E9322D"/>
    <w:rsid w:val="00EA236C"/>
    <w:rsid w:val="00EA4180"/>
    <w:rsid w:val="00EA5B51"/>
    <w:rsid w:val="00EB3CD4"/>
    <w:rsid w:val="00EC3CDE"/>
    <w:rsid w:val="00ED2703"/>
    <w:rsid w:val="00ED3A9D"/>
    <w:rsid w:val="00ED6EA8"/>
    <w:rsid w:val="00ED79B2"/>
    <w:rsid w:val="00EF4C14"/>
    <w:rsid w:val="00EF5CEC"/>
    <w:rsid w:val="00F0491D"/>
    <w:rsid w:val="00F05D80"/>
    <w:rsid w:val="00F1676E"/>
    <w:rsid w:val="00F2094F"/>
    <w:rsid w:val="00F2279B"/>
    <w:rsid w:val="00F2516C"/>
    <w:rsid w:val="00F26329"/>
    <w:rsid w:val="00F26575"/>
    <w:rsid w:val="00F44785"/>
    <w:rsid w:val="00F60323"/>
    <w:rsid w:val="00F67FF2"/>
    <w:rsid w:val="00F744C9"/>
    <w:rsid w:val="00F80B56"/>
    <w:rsid w:val="00F81FDB"/>
    <w:rsid w:val="00F82649"/>
    <w:rsid w:val="00F84AA8"/>
    <w:rsid w:val="00F86B49"/>
    <w:rsid w:val="00F903C2"/>
    <w:rsid w:val="00F94ECC"/>
    <w:rsid w:val="00FB103D"/>
    <w:rsid w:val="00FB162C"/>
    <w:rsid w:val="00FB434C"/>
    <w:rsid w:val="00FC0BFE"/>
    <w:rsid w:val="00FC1CFF"/>
    <w:rsid w:val="00FC38BA"/>
    <w:rsid w:val="00FC5973"/>
    <w:rsid w:val="00FD1DCB"/>
    <w:rsid w:val="00FE7F45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A58CC"/>
  <w15:chartTrackingRefBased/>
  <w15:docId w15:val="{875EA6C2-47FD-4190-B81A-B7AAFE7E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507"/>
  </w:style>
  <w:style w:type="paragraph" w:styleId="Footer">
    <w:name w:val="footer"/>
    <w:basedOn w:val="Normal"/>
    <w:link w:val="FooterChar"/>
    <w:uiPriority w:val="99"/>
    <w:unhideWhenUsed/>
    <w:rsid w:val="00A655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507"/>
  </w:style>
  <w:style w:type="character" w:styleId="Hyperlink">
    <w:name w:val="Hyperlink"/>
    <w:basedOn w:val="DefaultParagraphFont"/>
    <w:uiPriority w:val="99"/>
    <w:unhideWhenUsed/>
    <w:rsid w:val="009858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17AB"/>
    <w:pPr>
      <w:spacing w:after="0" w:line="240" w:lineRule="auto"/>
      <w:ind w:left="720"/>
      <w:contextualSpacing/>
      <w:jc w:val="both"/>
    </w:pPr>
    <w:rPr>
      <w:rFonts w:ascii="Arial" w:hAnsi="Arial" w:cs="Arial"/>
      <w:lang w:val="en-US"/>
    </w:rPr>
  </w:style>
  <w:style w:type="paragraph" w:styleId="NoSpacing">
    <w:name w:val="No Spacing"/>
    <w:uiPriority w:val="1"/>
    <w:qFormat/>
    <w:rsid w:val="00D60783"/>
    <w:pPr>
      <w:spacing w:after="0" w:line="240" w:lineRule="auto"/>
    </w:pPr>
  </w:style>
  <w:style w:type="paragraph" w:styleId="Revision">
    <w:name w:val="Revision"/>
    <w:hidden/>
    <w:uiPriority w:val="99"/>
    <w:semiHidden/>
    <w:rsid w:val="00712767"/>
    <w:pPr>
      <w:spacing w:after="0" w:line="240" w:lineRule="auto"/>
    </w:pPr>
  </w:style>
  <w:style w:type="paragraph" w:customStyle="1" w:styleId="Default">
    <w:name w:val="Default"/>
    <w:rsid w:val="00916A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E2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2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2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FDD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52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52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527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C7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A5596-0433-4DC5-8076-E09BA68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1034</Words>
  <Characters>6301</Characters>
  <Application>Microsoft Office Word</Application>
  <DocSecurity>0</DocSecurity>
  <Lines>165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Pavlou</dc:creator>
  <cp:keywords/>
  <dc:description/>
  <cp:lastModifiedBy>Hara Papakyriakou</cp:lastModifiedBy>
  <cp:revision>9</cp:revision>
  <cp:lastPrinted>2026-02-02T10:25:00Z</cp:lastPrinted>
  <dcterms:created xsi:type="dcterms:W3CDTF">2026-02-02T09:27:00Z</dcterms:created>
  <dcterms:modified xsi:type="dcterms:W3CDTF">2026-02-02T10:25:00Z</dcterms:modified>
</cp:coreProperties>
</file>