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909D" w14:textId="1B3E5D18" w:rsidR="00CF0FBA" w:rsidRPr="007C5037" w:rsidRDefault="00CF0FBA" w:rsidP="00613590">
      <w:pPr>
        <w:ind w:right="-284"/>
        <w:jc w:val="both"/>
        <w:rPr>
          <w:rFonts w:ascii="Arial" w:hAnsi="Arial" w:cs="Arial"/>
          <w:sz w:val="22"/>
          <w:szCs w:val="22"/>
          <w:lang w:val="el-GR"/>
        </w:rPr>
      </w:pPr>
      <w:r w:rsidRPr="007C5037">
        <w:rPr>
          <w:rFonts w:ascii="Arial" w:hAnsi="Arial" w:cs="Arial"/>
          <w:noProof/>
          <w:sz w:val="22"/>
          <w:szCs w:val="22"/>
        </w:rPr>
        <w:drawing>
          <wp:anchor distT="0" distB="0" distL="114300" distR="114300" simplePos="0" relativeHeight="251659264" behindDoc="0" locked="0" layoutInCell="1" allowOverlap="1" wp14:anchorId="7C7C8031" wp14:editId="2ECAAC8F">
            <wp:simplePos x="0" y="0"/>
            <wp:positionH relativeFrom="column">
              <wp:posOffset>-1097280</wp:posOffset>
            </wp:positionH>
            <wp:positionV relativeFrom="paragraph">
              <wp:posOffset>-899160</wp:posOffset>
            </wp:positionV>
            <wp:extent cx="7773035" cy="1196340"/>
            <wp:effectExtent l="0" t="0" r="0" b="3810"/>
            <wp:wrapNone/>
            <wp:docPr id="2" name="Picture 2" descr="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jpg"/>
                    <pic:cNvPicPr/>
                  </pic:nvPicPr>
                  <pic:blipFill>
                    <a:blip r:embed="rId8"/>
                    <a:stretch>
                      <a:fillRect/>
                    </a:stretch>
                  </pic:blipFill>
                  <pic:spPr>
                    <a:xfrm>
                      <a:off x="0" y="0"/>
                      <a:ext cx="7773035" cy="1196340"/>
                    </a:xfrm>
                    <a:prstGeom prst="rect">
                      <a:avLst/>
                    </a:prstGeom>
                  </pic:spPr>
                </pic:pic>
              </a:graphicData>
            </a:graphic>
            <wp14:sizeRelH relativeFrom="margin">
              <wp14:pctWidth>0</wp14:pctWidth>
            </wp14:sizeRelH>
            <wp14:sizeRelV relativeFrom="margin">
              <wp14:pctHeight>0</wp14:pctHeight>
            </wp14:sizeRelV>
          </wp:anchor>
        </w:drawing>
      </w:r>
      <w:r w:rsidR="00EC1ACC" w:rsidRPr="007C5037">
        <w:rPr>
          <w:rFonts w:ascii="Arial" w:hAnsi="Arial" w:cs="Arial"/>
          <w:sz w:val="22"/>
          <w:szCs w:val="22"/>
          <w:lang w:val="el-GR"/>
        </w:rPr>
        <w:t>€</w:t>
      </w:r>
    </w:p>
    <w:p w14:paraId="429FBFFF" w14:textId="77777777" w:rsidR="00F9794F" w:rsidRPr="007C5037" w:rsidRDefault="00F9794F" w:rsidP="00B736C7">
      <w:pPr>
        <w:pStyle w:val="Default"/>
        <w:tabs>
          <w:tab w:val="left" w:pos="2410"/>
        </w:tabs>
        <w:contextualSpacing/>
        <w:jc w:val="both"/>
        <w:rPr>
          <w:b/>
          <w:bCs/>
          <w:color w:val="auto"/>
          <w:sz w:val="22"/>
          <w:szCs w:val="22"/>
        </w:rPr>
      </w:pPr>
      <w:bookmarkStart w:id="0" w:name="_Hlk153261818"/>
    </w:p>
    <w:p w14:paraId="51AD9F7D" w14:textId="7835F3A7" w:rsidR="00B6232F" w:rsidRPr="007C5037" w:rsidRDefault="00215245" w:rsidP="008A2FAD">
      <w:pPr>
        <w:ind w:right="-426"/>
        <w:jc w:val="right"/>
        <w:rPr>
          <w:rFonts w:ascii="Arial" w:hAnsi="Arial" w:cs="Arial"/>
          <w:sz w:val="22"/>
          <w:szCs w:val="22"/>
          <w:lang w:val="el-GR"/>
        </w:rPr>
      </w:pPr>
      <w:r>
        <w:rPr>
          <w:rFonts w:ascii="Arial" w:hAnsi="Arial" w:cs="Arial"/>
          <w:sz w:val="22"/>
          <w:szCs w:val="22"/>
          <w:lang w:val="el-GR"/>
        </w:rPr>
        <w:t>3</w:t>
      </w:r>
      <w:r w:rsidR="00157FCD">
        <w:rPr>
          <w:rFonts w:ascii="Arial" w:hAnsi="Arial" w:cs="Arial"/>
          <w:sz w:val="22"/>
          <w:szCs w:val="22"/>
          <w:lang w:val="el-GR"/>
        </w:rPr>
        <w:t xml:space="preserve"> </w:t>
      </w:r>
      <w:r w:rsidR="00872E21">
        <w:rPr>
          <w:rFonts w:ascii="Arial" w:hAnsi="Arial" w:cs="Arial"/>
          <w:sz w:val="22"/>
          <w:szCs w:val="22"/>
          <w:lang w:val="el-GR"/>
        </w:rPr>
        <w:t>Φεβρουαρίου 2026</w:t>
      </w:r>
    </w:p>
    <w:p w14:paraId="564FB677" w14:textId="77777777" w:rsidR="0041621F" w:rsidRDefault="0041621F" w:rsidP="002C2739">
      <w:pPr>
        <w:tabs>
          <w:tab w:val="left" w:pos="2410"/>
        </w:tabs>
        <w:spacing w:after="0"/>
        <w:jc w:val="center"/>
        <w:rPr>
          <w:rFonts w:ascii="Arial" w:hAnsi="Arial" w:cs="Arial"/>
          <w:b/>
          <w:bCs/>
          <w:sz w:val="22"/>
          <w:szCs w:val="22"/>
          <w:u w:val="single"/>
          <w:lang w:val="el-GR"/>
        </w:rPr>
      </w:pPr>
    </w:p>
    <w:p w14:paraId="7EFF21D0" w14:textId="68E28D32" w:rsidR="00FF0C54" w:rsidRPr="00C56475" w:rsidRDefault="00AA7E2C" w:rsidP="002C2739">
      <w:pPr>
        <w:tabs>
          <w:tab w:val="left" w:pos="2410"/>
        </w:tabs>
        <w:spacing w:after="0"/>
        <w:jc w:val="center"/>
        <w:rPr>
          <w:rFonts w:ascii="Arial" w:hAnsi="Arial" w:cs="Arial"/>
          <w:b/>
          <w:bCs/>
          <w:sz w:val="26"/>
          <w:szCs w:val="26"/>
          <w:u w:val="single"/>
          <w:lang w:val="el-GR"/>
        </w:rPr>
      </w:pPr>
      <w:r w:rsidRPr="00C56475">
        <w:rPr>
          <w:rFonts w:ascii="Arial" w:hAnsi="Arial" w:cs="Arial"/>
          <w:b/>
          <w:bCs/>
          <w:sz w:val="26"/>
          <w:szCs w:val="26"/>
          <w:u w:val="single"/>
          <w:lang w:val="el-GR"/>
        </w:rPr>
        <w:t>Χρηματοοικονομικές</w:t>
      </w:r>
    </w:p>
    <w:p w14:paraId="3885218A" w14:textId="77777777" w:rsidR="00FF0C54" w:rsidRPr="00C56475" w:rsidRDefault="00AA7E2C" w:rsidP="002C2739">
      <w:pPr>
        <w:tabs>
          <w:tab w:val="left" w:pos="2410"/>
        </w:tabs>
        <w:spacing w:after="0"/>
        <w:jc w:val="center"/>
        <w:rPr>
          <w:rFonts w:ascii="Arial" w:hAnsi="Arial" w:cs="Arial"/>
          <w:b/>
          <w:bCs/>
          <w:sz w:val="26"/>
          <w:szCs w:val="26"/>
          <w:u w:val="single"/>
          <w:lang w:val="el-GR"/>
        </w:rPr>
      </w:pPr>
      <w:r w:rsidRPr="00C56475">
        <w:rPr>
          <w:rFonts w:ascii="Arial" w:hAnsi="Arial" w:cs="Arial"/>
          <w:b/>
          <w:bCs/>
          <w:sz w:val="26"/>
          <w:szCs w:val="26"/>
          <w:u w:val="single"/>
          <w:lang w:val="el-GR"/>
        </w:rPr>
        <w:t xml:space="preserve"> </w:t>
      </w:r>
      <w:r w:rsidR="009A442C" w:rsidRPr="00C56475">
        <w:rPr>
          <w:rFonts w:ascii="Arial" w:hAnsi="Arial" w:cs="Arial"/>
          <w:b/>
          <w:bCs/>
          <w:sz w:val="26"/>
          <w:szCs w:val="26"/>
          <w:u w:val="single"/>
          <w:lang w:val="el-GR"/>
        </w:rPr>
        <w:t xml:space="preserve">και άλλες </w:t>
      </w:r>
    </w:p>
    <w:p w14:paraId="6F2A99F5" w14:textId="5ABD65B7" w:rsidR="00AA7E2C" w:rsidRPr="00C56475" w:rsidRDefault="00AA7E2C" w:rsidP="002C2739">
      <w:pPr>
        <w:tabs>
          <w:tab w:val="left" w:pos="2410"/>
        </w:tabs>
        <w:spacing w:after="0"/>
        <w:jc w:val="center"/>
        <w:rPr>
          <w:rFonts w:ascii="Arial" w:hAnsi="Arial" w:cs="Arial"/>
          <w:b/>
          <w:bCs/>
          <w:sz w:val="26"/>
          <w:szCs w:val="26"/>
          <w:u w:val="single"/>
          <w:lang w:val="el-GR"/>
        </w:rPr>
      </w:pPr>
      <w:r w:rsidRPr="00C56475">
        <w:rPr>
          <w:rFonts w:ascii="Arial" w:hAnsi="Arial" w:cs="Arial"/>
          <w:b/>
          <w:bCs/>
          <w:sz w:val="26"/>
          <w:szCs w:val="26"/>
          <w:u w:val="single"/>
          <w:lang w:val="el-GR"/>
        </w:rPr>
        <w:t xml:space="preserve">Εξελίξεις </w:t>
      </w:r>
      <w:r w:rsidR="001805AB">
        <w:rPr>
          <w:rFonts w:ascii="Arial" w:hAnsi="Arial" w:cs="Arial"/>
          <w:b/>
          <w:bCs/>
          <w:sz w:val="26"/>
          <w:szCs w:val="26"/>
          <w:u w:val="single"/>
        </w:rPr>
        <w:t>B</w:t>
      </w:r>
      <w:r w:rsidR="00122219" w:rsidRPr="00C56475">
        <w:rPr>
          <w:rFonts w:ascii="Arial" w:hAnsi="Arial" w:cs="Arial"/>
          <w:b/>
          <w:bCs/>
          <w:sz w:val="26"/>
          <w:szCs w:val="26"/>
          <w:u w:val="single"/>
          <w:lang w:val="el-GR"/>
        </w:rPr>
        <w:t>’</w:t>
      </w:r>
      <w:r w:rsidR="00643DBF" w:rsidRPr="00C56475">
        <w:rPr>
          <w:rFonts w:ascii="Arial" w:hAnsi="Arial" w:cs="Arial"/>
          <w:b/>
          <w:bCs/>
          <w:sz w:val="26"/>
          <w:szCs w:val="26"/>
          <w:u w:val="single"/>
          <w:lang w:val="el-GR"/>
        </w:rPr>
        <w:t xml:space="preserve"> </w:t>
      </w:r>
      <w:r w:rsidR="002C2739" w:rsidRPr="00C56475">
        <w:rPr>
          <w:rFonts w:ascii="Arial" w:hAnsi="Arial" w:cs="Arial"/>
          <w:b/>
          <w:bCs/>
          <w:sz w:val="26"/>
          <w:szCs w:val="26"/>
          <w:u w:val="single"/>
          <w:lang w:val="el-GR"/>
        </w:rPr>
        <w:t>Εξαμήνου</w:t>
      </w:r>
      <w:r w:rsidRPr="00C56475">
        <w:rPr>
          <w:rFonts w:ascii="Arial" w:hAnsi="Arial" w:cs="Arial"/>
          <w:b/>
          <w:bCs/>
          <w:sz w:val="26"/>
          <w:szCs w:val="26"/>
          <w:u w:val="single"/>
          <w:lang w:val="el-GR"/>
        </w:rPr>
        <w:t xml:space="preserve"> 202</w:t>
      </w:r>
      <w:r w:rsidR="006F43FC" w:rsidRPr="00C56475">
        <w:rPr>
          <w:rFonts w:ascii="Arial" w:hAnsi="Arial" w:cs="Arial"/>
          <w:b/>
          <w:bCs/>
          <w:sz w:val="26"/>
          <w:szCs w:val="26"/>
          <w:u w:val="single"/>
          <w:lang w:val="el-GR"/>
        </w:rPr>
        <w:t>5</w:t>
      </w:r>
    </w:p>
    <w:p w14:paraId="441B5D99" w14:textId="77777777" w:rsidR="0041621F" w:rsidRPr="00B87684" w:rsidRDefault="0041621F" w:rsidP="00A90D4C">
      <w:pPr>
        <w:pStyle w:val="Default"/>
        <w:rPr>
          <w:color w:val="auto"/>
          <w:sz w:val="22"/>
          <w:szCs w:val="22"/>
        </w:rPr>
      </w:pPr>
    </w:p>
    <w:tbl>
      <w:tblPr>
        <w:tblStyle w:val="TableGrid"/>
        <w:tblpPr w:leftFromText="180" w:rightFromText="180" w:vertAnchor="text" w:horzAnchor="margin" w:tblpX="-293" w:tblpY="30"/>
        <w:tblW w:w="9351" w:type="dxa"/>
        <w:tblLook w:val="04A0" w:firstRow="1" w:lastRow="0" w:firstColumn="1" w:lastColumn="0" w:noHBand="0" w:noVBand="1"/>
      </w:tblPr>
      <w:tblGrid>
        <w:gridCol w:w="9351"/>
      </w:tblGrid>
      <w:tr w:rsidR="008F4D3E" w:rsidRPr="00CB0CCC" w14:paraId="6DE551BD" w14:textId="77777777" w:rsidTr="00613590">
        <w:tc>
          <w:tcPr>
            <w:tcW w:w="9351" w:type="dxa"/>
          </w:tcPr>
          <w:p w14:paraId="0071B678" w14:textId="77777777" w:rsidR="002E0558" w:rsidRDefault="002E0558" w:rsidP="00833127">
            <w:pPr>
              <w:pStyle w:val="Default"/>
              <w:adjustRightInd/>
              <w:contextualSpacing/>
              <w:jc w:val="center"/>
              <w:rPr>
                <w:rFonts w:eastAsia="Arial"/>
                <w:b/>
                <w:bCs/>
                <w:i/>
                <w:iCs/>
                <w:color w:val="auto"/>
                <w:sz w:val="22"/>
                <w:szCs w:val="22"/>
              </w:rPr>
            </w:pPr>
          </w:p>
          <w:p w14:paraId="2BDCC64B" w14:textId="77777777" w:rsidR="00304916" w:rsidRPr="00C56475" w:rsidRDefault="008F4D3E" w:rsidP="00833127">
            <w:pPr>
              <w:pStyle w:val="Default"/>
              <w:adjustRightInd/>
              <w:contextualSpacing/>
              <w:jc w:val="center"/>
              <w:rPr>
                <w:rFonts w:eastAsia="Arial"/>
                <w:b/>
                <w:bCs/>
                <w:i/>
                <w:iCs/>
                <w:color w:val="auto"/>
                <w:sz w:val="26"/>
                <w:szCs w:val="26"/>
              </w:rPr>
            </w:pPr>
            <w:r w:rsidRPr="00C56475">
              <w:rPr>
                <w:rFonts w:eastAsia="Arial"/>
                <w:b/>
                <w:bCs/>
                <w:i/>
                <w:iCs/>
                <w:color w:val="auto"/>
                <w:sz w:val="26"/>
                <w:szCs w:val="26"/>
              </w:rPr>
              <w:t xml:space="preserve">Δήλωση Λάμπρου Παπαδόπουλου, </w:t>
            </w:r>
          </w:p>
          <w:p w14:paraId="711E067B" w14:textId="251BD93E" w:rsidR="008F4D3E" w:rsidRPr="004F43A9" w:rsidRDefault="008F4D3E" w:rsidP="00833127">
            <w:pPr>
              <w:pStyle w:val="Default"/>
              <w:adjustRightInd/>
              <w:contextualSpacing/>
              <w:jc w:val="center"/>
              <w:rPr>
                <w:rFonts w:eastAsia="Arial"/>
                <w:i/>
                <w:iCs/>
                <w:color w:val="auto"/>
                <w:sz w:val="26"/>
                <w:szCs w:val="26"/>
              </w:rPr>
            </w:pPr>
            <w:r w:rsidRPr="00C56475">
              <w:rPr>
                <w:rFonts w:eastAsia="Arial"/>
                <w:b/>
                <w:bCs/>
                <w:i/>
                <w:iCs/>
                <w:color w:val="auto"/>
                <w:sz w:val="26"/>
                <w:szCs w:val="26"/>
              </w:rPr>
              <w:t>Προέδρου Διοικητικού Συμβουλίου ΚΕΔΙΠΕΣ</w:t>
            </w:r>
            <w:r w:rsidRPr="00C56475">
              <w:rPr>
                <w:rFonts w:eastAsia="Arial"/>
                <w:i/>
                <w:iCs/>
                <w:color w:val="auto"/>
                <w:sz w:val="26"/>
                <w:szCs w:val="26"/>
              </w:rPr>
              <w:t>:</w:t>
            </w:r>
            <w:r w:rsidR="0031444C" w:rsidRPr="00C56475">
              <w:rPr>
                <w:rFonts w:eastAsia="Arial"/>
                <w:i/>
                <w:iCs/>
                <w:color w:val="auto"/>
                <w:sz w:val="26"/>
                <w:szCs w:val="26"/>
              </w:rPr>
              <w:t xml:space="preserve"> </w:t>
            </w:r>
            <w:r w:rsidR="00176ED5" w:rsidRPr="00C56475">
              <w:rPr>
                <w:rFonts w:eastAsia="Arial"/>
                <w:i/>
                <w:iCs/>
                <w:color w:val="auto"/>
                <w:sz w:val="26"/>
                <w:szCs w:val="26"/>
              </w:rPr>
              <w:t xml:space="preserve"> </w:t>
            </w:r>
          </w:p>
          <w:p w14:paraId="0D820CA8" w14:textId="77777777" w:rsidR="00115F00" w:rsidRDefault="00115F00" w:rsidP="00833127">
            <w:pPr>
              <w:pStyle w:val="Default"/>
              <w:adjustRightInd/>
              <w:contextualSpacing/>
              <w:jc w:val="center"/>
              <w:rPr>
                <w:rFonts w:eastAsia="Arial"/>
                <w:i/>
                <w:iCs/>
                <w:color w:val="auto"/>
                <w:sz w:val="22"/>
                <w:szCs w:val="22"/>
              </w:rPr>
            </w:pPr>
          </w:p>
          <w:tbl>
            <w:tblPr>
              <w:tblStyle w:val="TableGrid"/>
              <w:tblW w:w="0" w:type="auto"/>
              <w:tblInd w:w="421" w:type="dxa"/>
              <w:tblLook w:val="04A0" w:firstRow="1" w:lastRow="0" w:firstColumn="1" w:lastColumn="0" w:noHBand="0" w:noVBand="1"/>
            </w:tblPr>
            <w:tblGrid>
              <w:gridCol w:w="8284"/>
            </w:tblGrid>
            <w:tr w:rsidR="00F87758" w:rsidRPr="00CB0CCC" w14:paraId="27DD8490" w14:textId="77777777" w:rsidTr="00F87758">
              <w:trPr>
                <w:trHeight w:val="387"/>
              </w:trPr>
              <w:tc>
                <w:tcPr>
                  <w:tcW w:w="8284" w:type="dxa"/>
                  <w:shd w:val="clear" w:color="auto" w:fill="F2F2F2" w:themeFill="background1" w:themeFillShade="F2"/>
                </w:tcPr>
                <w:p w14:paraId="1E48B6DB" w14:textId="59A1C5CF" w:rsidR="00853CA6" w:rsidRPr="00853CA6" w:rsidRDefault="00DA45A7" w:rsidP="00547AA2">
                  <w:pPr>
                    <w:pStyle w:val="Default"/>
                    <w:framePr w:hSpace="180" w:wrap="around" w:vAnchor="text" w:hAnchor="margin" w:x="-293" w:y="30"/>
                    <w:numPr>
                      <w:ilvl w:val="0"/>
                      <w:numId w:val="3"/>
                    </w:numPr>
                    <w:ind w:left="0"/>
                    <w:contextualSpacing/>
                    <w:jc w:val="both"/>
                    <w:rPr>
                      <w:rFonts w:eastAsia="Arial"/>
                      <w:color w:val="auto"/>
                      <w:sz w:val="22"/>
                      <w:szCs w:val="22"/>
                    </w:rPr>
                  </w:pPr>
                  <w:r w:rsidRPr="00992C11">
                    <w:rPr>
                      <w:rFonts w:eastAsia="Arial"/>
                      <w:color w:val="auto"/>
                      <w:sz w:val="22"/>
                      <w:szCs w:val="22"/>
                    </w:rPr>
                    <w:t>Τα αποτελέσματα τ</w:t>
                  </w:r>
                  <w:r w:rsidR="00842B3D" w:rsidRPr="00992C11">
                    <w:rPr>
                      <w:rFonts w:eastAsia="Arial"/>
                      <w:color w:val="auto"/>
                      <w:sz w:val="22"/>
                      <w:szCs w:val="22"/>
                    </w:rPr>
                    <w:t xml:space="preserve">ου </w:t>
                  </w:r>
                  <w:r w:rsidR="001805AB" w:rsidRPr="00992C11">
                    <w:rPr>
                      <w:rFonts w:eastAsia="Arial"/>
                      <w:color w:val="auto"/>
                      <w:sz w:val="22"/>
                      <w:szCs w:val="22"/>
                      <w:lang w:val="en-US"/>
                    </w:rPr>
                    <w:t>B</w:t>
                  </w:r>
                  <w:r w:rsidR="00AB192D" w:rsidRPr="00992C11">
                    <w:rPr>
                      <w:rFonts w:eastAsia="Arial"/>
                      <w:color w:val="auto"/>
                      <w:sz w:val="22"/>
                      <w:szCs w:val="22"/>
                    </w:rPr>
                    <w:t xml:space="preserve">’ </w:t>
                  </w:r>
                  <w:r w:rsidR="008F6C71" w:rsidRPr="00992C11">
                    <w:rPr>
                      <w:rFonts w:eastAsia="Arial"/>
                      <w:color w:val="auto"/>
                      <w:sz w:val="22"/>
                      <w:szCs w:val="22"/>
                    </w:rPr>
                    <w:t>Εξαμήνου</w:t>
                  </w:r>
                  <w:r w:rsidR="00842B3D" w:rsidRPr="00992C11">
                    <w:rPr>
                      <w:rFonts w:eastAsia="Arial"/>
                      <w:color w:val="auto"/>
                      <w:sz w:val="22"/>
                      <w:szCs w:val="22"/>
                    </w:rPr>
                    <w:t xml:space="preserve"> ήταν</w:t>
                  </w:r>
                  <w:r w:rsidR="0004213C" w:rsidRPr="00992C11">
                    <w:rPr>
                      <w:rFonts w:eastAsia="Arial"/>
                      <w:color w:val="auto"/>
                      <w:sz w:val="22"/>
                      <w:szCs w:val="22"/>
                    </w:rPr>
                    <w:t xml:space="preserve"> σημαντικά βελτιωμένα σε σχέση με το Α’</w:t>
                  </w:r>
                  <w:r w:rsidR="00B96695" w:rsidRPr="00640025">
                    <w:rPr>
                      <w:rFonts w:eastAsia="Arial"/>
                      <w:color w:val="auto"/>
                      <w:sz w:val="22"/>
                      <w:szCs w:val="22"/>
                    </w:rPr>
                    <w:t xml:space="preserve"> </w:t>
                  </w:r>
                  <w:r w:rsidR="0004213C" w:rsidRPr="00992C11">
                    <w:rPr>
                      <w:rFonts w:eastAsia="Arial"/>
                      <w:color w:val="auto"/>
                      <w:sz w:val="22"/>
                      <w:szCs w:val="22"/>
                    </w:rPr>
                    <w:t>Εξ</w:t>
                  </w:r>
                  <w:r w:rsidR="00992C11" w:rsidRPr="00992C11">
                    <w:rPr>
                      <w:rFonts w:eastAsia="Arial"/>
                      <w:color w:val="auto"/>
                      <w:sz w:val="22"/>
                      <w:szCs w:val="22"/>
                    </w:rPr>
                    <w:t>ά</w:t>
                  </w:r>
                  <w:r w:rsidR="0004213C" w:rsidRPr="00992C11">
                    <w:rPr>
                      <w:rFonts w:eastAsia="Arial"/>
                      <w:color w:val="auto"/>
                      <w:sz w:val="22"/>
                      <w:szCs w:val="22"/>
                    </w:rPr>
                    <w:t>μηνο</w:t>
                  </w:r>
                  <w:r w:rsidR="00A510DA" w:rsidRPr="00992C11">
                    <w:rPr>
                      <w:rFonts w:eastAsia="Arial"/>
                      <w:color w:val="auto"/>
                      <w:sz w:val="22"/>
                      <w:szCs w:val="22"/>
                    </w:rPr>
                    <w:t>,</w:t>
                  </w:r>
                  <w:r w:rsidR="00842B3D" w:rsidRPr="00992C11">
                    <w:rPr>
                      <w:rFonts w:eastAsia="Arial"/>
                      <w:color w:val="auto"/>
                      <w:sz w:val="22"/>
                      <w:szCs w:val="22"/>
                    </w:rPr>
                    <w:t xml:space="preserve"> με </w:t>
                  </w:r>
                  <w:r w:rsidR="00AB192D" w:rsidRPr="00992C11">
                    <w:rPr>
                      <w:rFonts w:eastAsia="Arial"/>
                      <w:color w:val="auto"/>
                      <w:sz w:val="22"/>
                      <w:szCs w:val="22"/>
                    </w:rPr>
                    <w:t>αυξημένες</w:t>
                  </w:r>
                  <w:r w:rsidR="00842B3D" w:rsidRPr="00992C11">
                    <w:rPr>
                      <w:rFonts w:eastAsia="Arial"/>
                      <w:b/>
                      <w:bCs/>
                      <w:color w:val="auto"/>
                      <w:sz w:val="22"/>
                      <w:szCs w:val="22"/>
                    </w:rPr>
                    <w:t xml:space="preserve"> </w:t>
                  </w:r>
                  <w:r w:rsidR="00AB192D" w:rsidRPr="00992C11">
                    <w:rPr>
                      <w:rFonts w:eastAsia="Arial"/>
                      <w:color w:val="auto"/>
                      <w:sz w:val="22"/>
                      <w:szCs w:val="22"/>
                    </w:rPr>
                    <w:t xml:space="preserve">συνολικές λύσεις αναδιάρθρωσης ή/και ανάκτησης κατά </w:t>
                  </w:r>
                  <w:r w:rsidR="00E7060C" w:rsidRPr="00640025">
                    <w:rPr>
                      <w:rFonts w:eastAsia="Arial"/>
                      <w:color w:val="auto"/>
                      <w:sz w:val="22"/>
                      <w:szCs w:val="22"/>
                    </w:rPr>
                    <w:t>22</w:t>
                  </w:r>
                  <w:r w:rsidR="00AB192D" w:rsidRPr="00E1456E">
                    <w:rPr>
                      <w:rFonts w:eastAsia="Arial"/>
                      <w:color w:val="auto"/>
                      <w:sz w:val="22"/>
                      <w:szCs w:val="22"/>
                    </w:rPr>
                    <w:t>%</w:t>
                  </w:r>
                  <w:r w:rsidR="00AB192D" w:rsidRPr="00992C11">
                    <w:rPr>
                      <w:rFonts w:eastAsia="Arial"/>
                      <w:color w:val="auto"/>
                      <w:sz w:val="22"/>
                      <w:szCs w:val="22"/>
                    </w:rPr>
                    <w:t xml:space="preserve"> </w:t>
                  </w:r>
                  <w:r w:rsidR="00B96695">
                    <w:rPr>
                      <w:rFonts w:eastAsia="Arial"/>
                      <w:color w:val="auto"/>
                      <w:sz w:val="22"/>
                      <w:szCs w:val="22"/>
                    </w:rPr>
                    <w:t>που</w:t>
                  </w:r>
                  <w:r w:rsidR="007D34E4" w:rsidRPr="00992C11">
                    <w:rPr>
                      <w:rFonts w:eastAsia="Arial"/>
                      <w:color w:val="auto"/>
                      <w:sz w:val="22"/>
                      <w:szCs w:val="22"/>
                    </w:rPr>
                    <w:t xml:space="preserve"> </w:t>
                  </w:r>
                  <w:r w:rsidR="008F0428" w:rsidRPr="00992C11">
                    <w:rPr>
                      <w:rFonts w:eastAsia="Arial"/>
                      <w:color w:val="auto"/>
                      <w:sz w:val="22"/>
                      <w:szCs w:val="22"/>
                    </w:rPr>
                    <w:t xml:space="preserve">ανήλθαν </w:t>
                  </w:r>
                  <w:r w:rsidR="007D34E4" w:rsidRPr="00E1456E">
                    <w:rPr>
                      <w:rFonts w:eastAsia="Arial"/>
                      <w:color w:val="auto"/>
                      <w:sz w:val="22"/>
                      <w:szCs w:val="22"/>
                    </w:rPr>
                    <w:t>σε</w:t>
                  </w:r>
                  <w:r w:rsidR="00AB192D" w:rsidRPr="00E1456E">
                    <w:rPr>
                      <w:rFonts w:eastAsia="Arial"/>
                      <w:color w:val="auto"/>
                      <w:sz w:val="22"/>
                      <w:szCs w:val="22"/>
                    </w:rPr>
                    <w:t xml:space="preserve"> €</w:t>
                  </w:r>
                  <w:r w:rsidR="00AB192D" w:rsidRPr="00640025">
                    <w:rPr>
                      <w:rFonts w:eastAsia="Arial"/>
                      <w:color w:val="auto"/>
                      <w:sz w:val="22"/>
                      <w:szCs w:val="22"/>
                    </w:rPr>
                    <w:t>3</w:t>
                  </w:r>
                  <w:r w:rsidR="00E7060C" w:rsidRPr="00640025">
                    <w:rPr>
                      <w:rFonts w:eastAsia="Arial"/>
                      <w:color w:val="auto"/>
                      <w:sz w:val="22"/>
                      <w:szCs w:val="22"/>
                    </w:rPr>
                    <w:t>9</w:t>
                  </w:r>
                  <w:r w:rsidR="00AB192D" w:rsidRPr="00640025">
                    <w:rPr>
                      <w:rFonts w:eastAsia="Arial"/>
                      <w:color w:val="auto"/>
                      <w:sz w:val="22"/>
                      <w:szCs w:val="22"/>
                    </w:rPr>
                    <w:t>1</w:t>
                  </w:r>
                  <w:r w:rsidR="00AB192D" w:rsidRPr="00E1456E">
                    <w:rPr>
                      <w:rFonts w:eastAsia="Arial"/>
                      <w:color w:val="auto"/>
                      <w:sz w:val="22"/>
                      <w:szCs w:val="22"/>
                    </w:rPr>
                    <w:t>εκ.</w:t>
                  </w:r>
                  <w:r w:rsidR="00AB192D" w:rsidRPr="00992C11">
                    <w:rPr>
                      <w:rFonts w:eastAsia="Arial"/>
                      <w:color w:val="auto"/>
                      <w:sz w:val="22"/>
                      <w:szCs w:val="22"/>
                    </w:rPr>
                    <w:t xml:space="preserve"> ενώ οι ταμειακές εισροές </w:t>
                  </w:r>
                  <w:r w:rsidR="00992C11" w:rsidRPr="00992C11">
                    <w:rPr>
                      <w:rFonts w:eastAsia="Arial"/>
                      <w:color w:val="auto"/>
                      <w:sz w:val="22"/>
                      <w:szCs w:val="22"/>
                    </w:rPr>
                    <w:t>αυξήθηκαν</w:t>
                  </w:r>
                  <w:r w:rsidR="00AB192D" w:rsidRPr="00992C11">
                    <w:rPr>
                      <w:rFonts w:eastAsia="Arial"/>
                      <w:color w:val="auto"/>
                      <w:sz w:val="22"/>
                      <w:szCs w:val="22"/>
                    </w:rPr>
                    <w:t xml:space="preserve"> </w:t>
                  </w:r>
                  <w:r w:rsidR="00AB192D" w:rsidRPr="004779E0">
                    <w:rPr>
                      <w:rFonts w:eastAsia="Arial"/>
                      <w:color w:val="auto"/>
                      <w:sz w:val="22"/>
                      <w:szCs w:val="22"/>
                    </w:rPr>
                    <w:t xml:space="preserve">κατά </w:t>
                  </w:r>
                  <w:r w:rsidR="0003218C" w:rsidRPr="00640025">
                    <w:rPr>
                      <w:rFonts w:eastAsia="Arial"/>
                      <w:color w:val="auto"/>
                      <w:sz w:val="22"/>
                      <w:szCs w:val="22"/>
                    </w:rPr>
                    <w:t>2</w:t>
                  </w:r>
                  <w:r w:rsidR="00E1456E">
                    <w:rPr>
                      <w:rFonts w:eastAsia="Arial"/>
                      <w:color w:val="auto"/>
                      <w:sz w:val="22"/>
                      <w:szCs w:val="22"/>
                    </w:rPr>
                    <w:t>9</w:t>
                  </w:r>
                  <w:r w:rsidR="004D4CF6" w:rsidRPr="00E1456E">
                    <w:rPr>
                      <w:rFonts w:eastAsia="Arial"/>
                      <w:color w:val="auto"/>
                      <w:sz w:val="22"/>
                      <w:szCs w:val="22"/>
                    </w:rPr>
                    <w:t>%</w:t>
                  </w:r>
                  <w:r w:rsidR="004D4CF6" w:rsidRPr="00992C11">
                    <w:rPr>
                      <w:rFonts w:eastAsia="Arial"/>
                      <w:color w:val="auto"/>
                      <w:sz w:val="22"/>
                      <w:szCs w:val="22"/>
                    </w:rPr>
                    <w:t xml:space="preserve"> σ</w:t>
                  </w:r>
                  <w:r w:rsidR="007D34E4" w:rsidRPr="00992C11">
                    <w:rPr>
                      <w:rFonts w:eastAsia="Arial"/>
                      <w:color w:val="auto"/>
                      <w:sz w:val="22"/>
                      <w:szCs w:val="22"/>
                    </w:rPr>
                    <w:t>ε</w:t>
                  </w:r>
                  <w:r w:rsidR="004D4CF6" w:rsidRPr="00992C11">
                    <w:rPr>
                      <w:rFonts w:eastAsia="Arial"/>
                      <w:color w:val="auto"/>
                      <w:sz w:val="22"/>
                      <w:szCs w:val="22"/>
                    </w:rPr>
                    <w:t xml:space="preserve"> </w:t>
                  </w:r>
                  <w:r w:rsidR="00AB192D" w:rsidRPr="00E1456E">
                    <w:rPr>
                      <w:rFonts w:eastAsia="Arial"/>
                      <w:color w:val="auto"/>
                      <w:sz w:val="22"/>
                      <w:szCs w:val="22"/>
                    </w:rPr>
                    <w:t>€</w:t>
                  </w:r>
                  <w:r w:rsidR="00E7060C" w:rsidRPr="00640025">
                    <w:rPr>
                      <w:rFonts w:eastAsia="Arial"/>
                      <w:color w:val="auto"/>
                      <w:sz w:val="22"/>
                      <w:szCs w:val="22"/>
                    </w:rPr>
                    <w:t>209</w:t>
                  </w:r>
                  <w:r w:rsidR="00AB192D" w:rsidRPr="00E1456E">
                    <w:rPr>
                      <w:rFonts w:eastAsia="Arial"/>
                      <w:color w:val="auto"/>
                      <w:sz w:val="22"/>
                      <w:szCs w:val="22"/>
                    </w:rPr>
                    <w:t>εκ</w:t>
                  </w:r>
                  <w:r w:rsidR="00442522" w:rsidRPr="00E1456E">
                    <w:rPr>
                      <w:rFonts w:eastAsia="Arial"/>
                      <w:color w:val="auto"/>
                      <w:sz w:val="22"/>
                      <w:szCs w:val="22"/>
                    </w:rPr>
                    <w:t>.</w:t>
                  </w:r>
                  <w:r w:rsidR="00640025" w:rsidRPr="00640025">
                    <w:rPr>
                      <w:rFonts w:eastAsia="Arial"/>
                      <w:color w:val="auto"/>
                      <w:sz w:val="22"/>
                      <w:szCs w:val="22"/>
                    </w:rPr>
                    <w:t xml:space="preserve"> </w:t>
                  </w:r>
                  <w:r w:rsidR="00802D23">
                    <w:rPr>
                      <w:rFonts w:eastAsia="Arial"/>
                      <w:color w:val="auto"/>
                      <w:sz w:val="22"/>
                      <w:szCs w:val="22"/>
                    </w:rPr>
                    <w:t xml:space="preserve">Στα θετικά είναι οι σημαντικές εισπράξεις από τις εκστρατείες </w:t>
                  </w:r>
                  <w:r w:rsidR="003D5FC5">
                    <w:rPr>
                      <w:rFonts w:eastAsia="Arial"/>
                      <w:color w:val="auto"/>
                      <w:sz w:val="22"/>
                      <w:szCs w:val="22"/>
                    </w:rPr>
                    <w:t xml:space="preserve">εξόφλησης </w:t>
                  </w:r>
                  <w:r w:rsidR="00802D23">
                    <w:rPr>
                      <w:rFonts w:eastAsia="Arial"/>
                      <w:color w:val="auto"/>
                      <w:sz w:val="22"/>
                      <w:szCs w:val="22"/>
                    </w:rPr>
                    <w:t xml:space="preserve">εξυπηρετούμενων και μη εξυπηρετούμενων δανείων </w:t>
                  </w:r>
                  <w:r w:rsidR="00BF5BD1">
                    <w:rPr>
                      <w:rFonts w:eastAsia="Arial"/>
                      <w:color w:val="auto"/>
                      <w:sz w:val="22"/>
                      <w:szCs w:val="22"/>
                    </w:rPr>
                    <w:t xml:space="preserve">που θα συνεχιστούν και για το 2026, </w:t>
                  </w:r>
                  <w:r w:rsidR="00127FB0">
                    <w:rPr>
                      <w:rFonts w:eastAsia="Arial"/>
                      <w:color w:val="auto"/>
                      <w:sz w:val="22"/>
                      <w:szCs w:val="22"/>
                    </w:rPr>
                    <w:t xml:space="preserve">ενώ </w:t>
                  </w:r>
                  <w:r w:rsidR="00215245">
                    <w:rPr>
                      <w:rFonts w:eastAsia="Arial"/>
                      <w:color w:val="auto"/>
                      <w:sz w:val="22"/>
                      <w:szCs w:val="22"/>
                    </w:rPr>
                    <w:t xml:space="preserve">συνεχίζουν </w:t>
                  </w:r>
                  <w:r w:rsidR="00127FB0">
                    <w:rPr>
                      <w:rFonts w:eastAsia="Arial"/>
                      <w:color w:val="auto"/>
                      <w:sz w:val="22"/>
                      <w:szCs w:val="22"/>
                    </w:rPr>
                    <w:t>οι καθυστερήσεις στην π</w:t>
                  </w:r>
                  <w:r w:rsidR="00177D56">
                    <w:rPr>
                      <w:rFonts w:eastAsia="Arial"/>
                      <w:color w:val="auto"/>
                      <w:sz w:val="22"/>
                      <w:szCs w:val="22"/>
                    </w:rPr>
                    <w:t>ώ</w:t>
                  </w:r>
                  <w:r w:rsidR="00127FB0">
                    <w:rPr>
                      <w:rFonts w:eastAsia="Arial"/>
                      <w:color w:val="auto"/>
                      <w:sz w:val="22"/>
                      <w:szCs w:val="22"/>
                    </w:rPr>
                    <w:t>ληση</w:t>
                  </w:r>
                  <w:r w:rsidR="00BF5BD1">
                    <w:rPr>
                      <w:rFonts w:eastAsia="Arial"/>
                      <w:color w:val="auto"/>
                      <w:sz w:val="22"/>
                      <w:szCs w:val="22"/>
                    </w:rPr>
                    <w:t xml:space="preserve"> </w:t>
                  </w:r>
                  <w:r w:rsidR="00127FB0">
                    <w:rPr>
                      <w:rFonts w:eastAsia="Arial"/>
                      <w:color w:val="auto"/>
                      <w:sz w:val="22"/>
                      <w:szCs w:val="22"/>
                    </w:rPr>
                    <w:t>χαρτοφυλακίω</w:t>
                  </w:r>
                  <w:r w:rsidR="00177D56">
                    <w:rPr>
                      <w:rFonts w:eastAsia="Arial"/>
                      <w:color w:val="auto"/>
                      <w:sz w:val="22"/>
                      <w:szCs w:val="22"/>
                    </w:rPr>
                    <w:t xml:space="preserve">ν και </w:t>
                  </w:r>
                  <w:r w:rsidR="003D5FC5">
                    <w:rPr>
                      <w:rFonts w:eastAsia="Arial"/>
                      <w:color w:val="auto"/>
                      <w:sz w:val="22"/>
                      <w:szCs w:val="22"/>
                    </w:rPr>
                    <w:t xml:space="preserve">στις </w:t>
                  </w:r>
                  <w:r w:rsidR="00177D56">
                    <w:rPr>
                      <w:rFonts w:eastAsia="Arial"/>
                      <w:color w:val="auto"/>
                      <w:sz w:val="22"/>
                      <w:szCs w:val="22"/>
                    </w:rPr>
                    <w:t xml:space="preserve">μη συναινετικές λύσεις. </w:t>
                  </w:r>
                </w:p>
                <w:p w14:paraId="00762C25" w14:textId="77777777" w:rsidR="00853CA6" w:rsidRPr="00853CA6" w:rsidRDefault="00853CA6" w:rsidP="00547AA2">
                  <w:pPr>
                    <w:pStyle w:val="Default"/>
                    <w:framePr w:hSpace="180" w:wrap="around" w:vAnchor="text" w:hAnchor="margin" w:x="-293" w:y="30"/>
                    <w:numPr>
                      <w:ilvl w:val="0"/>
                      <w:numId w:val="3"/>
                    </w:numPr>
                    <w:ind w:left="0"/>
                    <w:contextualSpacing/>
                    <w:jc w:val="both"/>
                    <w:rPr>
                      <w:rFonts w:eastAsia="Arial"/>
                      <w:color w:val="auto"/>
                      <w:sz w:val="22"/>
                      <w:szCs w:val="22"/>
                    </w:rPr>
                  </w:pPr>
                </w:p>
                <w:p w14:paraId="371CE546" w14:textId="23DAD70C" w:rsidR="003E11A7" w:rsidRPr="00853CA6" w:rsidRDefault="00FC4C60" w:rsidP="00547AA2">
                  <w:pPr>
                    <w:pStyle w:val="Default"/>
                    <w:framePr w:hSpace="180" w:wrap="around" w:vAnchor="text" w:hAnchor="margin" w:x="-293" w:y="30"/>
                    <w:numPr>
                      <w:ilvl w:val="0"/>
                      <w:numId w:val="3"/>
                    </w:numPr>
                    <w:ind w:left="0"/>
                    <w:contextualSpacing/>
                    <w:jc w:val="both"/>
                    <w:rPr>
                      <w:rFonts w:eastAsia="Arial"/>
                      <w:color w:val="auto"/>
                      <w:sz w:val="22"/>
                      <w:szCs w:val="22"/>
                    </w:rPr>
                  </w:pPr>
                  <w:r w:rsidRPr="00791743">
                    <w:rPr>
                      <w:rFonts w:eastAsia="Arial"/>
                      <w:color w:val="auto"/>
                      <w:sz w:val="22"/>
                      <w:szCs w:val="22"/>
                    </w:rPr>
                    <w:t xml:space="preserve">Η συνολική απομόχλευση στοιχείων ενεργητικού από την έναρξη των εργασιών από </w:t>
                  </w:r>
                  <w:r w:rsidR="00443CB2">
                    <w:rPr>
                      <w:rFonts w:eastAsia="Arial"/>
                      <w:color w:val="auto"/>
                      <w:sz w:val="22"/>
                      <w:szCs w:val="22"/>
                    </w:rPr>
                    <w:t xml:space="preserve">την </w:t>
                  </w:r>
                  <w:r w:rsidRPr="00791743">
                    <w:rPr>
                      <w:rFonts w:eastAsia="Arial"/>
                      <w:color w:val="auto"/>
                      <w:sz w:val="22"/>
                      <w:szCs w:val="22"/>
                    </w:rPr>
                    <w:t>1</w:t>
                  </w:r>
                  <w:r w:rsidRPr="00791743">
                    <w:rPr>
                      <w:rFonts w:eastAsia="Arial"/>
                      <w:color w:val="auto"/>
                      <w:sz w:val="22"/>
                      <w:szCs w:val="22"/>
                      <w:vertAlign w:val="superscript"/>
                    </w:rPr>
                    <w:t>η</w:t>
                  </w:r>
                  <w:r w:rsidRPr="00791743">
                    <w:rPr>
                      <w:rFonts w:eastAsia="Arial"/>
                      <w:color w:val="auto"/>
                      <w:sz w:val="22"/>
                      <w:szCs w:val="22"/>
                    </w:rPr>
                    <w:t xml:space="preserve"> Σεπτεμβρίου 2018 μέχρι την 31</w:t>
                  </w:r>
                  <w:r w:rsidRPr="00791743">
                    <w:rPr>
                      <w:rFonts w:eastAsia="Arial"/>
                      <w:color w:val="auto"/>
                      <w:sz w:val="22"/>
                      <w:szCs w:val="22"/>
                      <w:vertAlign w:val="superscript"/>
                    </w:rPr>
                    <w:t>η</w:t>
                  </w:r>
                  <w:r w:rsidRPr="00791743">
                    <w:rPr>
                      <w:rFonts w:eastAsia="Arial"/>
                      <w:color w:val="auto"/>
                      <w:sz w:val="22"/>
                      <w:szCs w:val="22"/>
                    </w:rPr>
                    <w:t xml:space="preserve"> Δεκεμβρίου 2025 ανήλθε στο </w:t>
                  </w:r>
                  <w:r w:rsidRPr="00FC4C60">
                    <w:rPr>
                      <w:rFonts w:eastAsia="Arial"/>
                      <w:color w:val="auto"/>
                      <w:sz w:val="22"/>
                      <w:szCs w:val="22"/>
                    </w:rPr>
                    <w:t>51</w:t>
                  </w:r>
                  <w:r w:rsidRPr="00791743">
                    <w:rPr>
                      <w:rFonts w:eastAsia="Arial"/>
                      <w:color w:val="auto"/>
                      <w:sz w:val="22"/>
                      <w:szCs w:val="22"/>
                    </w:rPr>
                    <w:t xml:space="preserve">%  εξαιρουμένων των συμβατικών τόκων δανείων </w:t>
                  </w:r>
                  <w:r>
                    <w:rPr>
                      <w:rFonts w:eastAsia="Arial"/>
                      <w:color w:val="auto"/>
                      <w:sz w:val="22"/>
                      <w:szCs w:val="22"/>
                    </w:rPr>
                    <w:t>και οι</w:t>
                  </w:r>
                  <w:r w:rsidRPr="007C5037">
                    <w:rPr>
                      <w:rFonts w:eastAsia="Arial"/>
                      <w:color w:val="auto"/>
                      <w:sz w:val="22"/>
                      <w:szCs w:val="22"/>
                    </w:rPr>
                    <w:t xml:space="preserve"> σωρευτικές ταμειακές εισροές ανήλθαν σε €2.</w:t>
                  </w:r>
                  <w:r>
                    <w:rPr>
                      <w:rFonts w:eastAsia="Arial"/>
                      <w:color w:val="auto"/>
                      <w:sz w:val="22"/>
                      <w:szCs w:val="22"/>
                    </w:rPr>
                    <w:t>935</w:t>
                  </w:r>
                  <w:r w:rsidRPr="007C5037">
                    <w:rPr>
                      <w:rFonts w:eastAsia="Arial"/>
                      <w:color w:val="auto"/>
                      <w:sz w:val="22"/>
                      <w:szCs w:val="22"/>
                    </w:rPr>
                    <w:t>εκ.</w:t>
                  </w:r>
                  <w:r w:rsidR="00853CA6" w:rsidRPr="00853CA6">
                    <w:rPr>
                      <w:rFonts w:eastAsia="Arial"/>
                      <w:color w:val="auto"/>
                      <w:sz w:val="22"/>
                      <w:szCs w:val="22"/>
                    </w:rPr>
                    <w:t xml:space="preserve"> </w:t>
                  </w:r>
                  <w:r w:rsidR="00CA3451" w:rsidRPr="00853CA6">
                    <w:rPr>
                      <w:rFonts w:eastAsia="Arial"/>
                      <w:color w:val="auto"/>
                      <w:sz w:val="22"/>
                      <w:szCs w:val="22"/>
                    </w:rPr>
                    <w:t>Τ</w:t>
                  </w:r>
                  <w:r w:rsidR="007272A6" w:rsidRPr="00853CA6">
                    <w:rPr>
                      <w:rFonts w:eastAsia="Arial"/>
                      <w:color w:val="auto"/>
                      <w:sz w:val="22"/>
                      <w:szCs w:val="22"/>
                    </w:rPr>
                    <w:t xml:space="preserve">ο συνολικό ποσό αποπληρωμής </w:t>
                  </w:r>
                  <w:r w:rsidR="00862782" w:rsidRPr="00853CA6">
                    <w:rPr>
                      <w:rFonts w:eastAsia="Arial"/>
                      <w:color w:val="auto"/>
                      <w:sz w:val="22"/>
                      <w:szCs w:val="22"/>
                    </w:rPr>
                    <w:t>κ</w:t>
                  </w:r>
                  <w:r w:rsidR="007272A6" w:rsidRPr="00853CA6">
                    <w:rPr>
                      <w:rFonts w:eastAsia="Arial"/>
                      <w:color w:val="auto"/>
                      <w:sz w:val="22"/>
                      <w:szCs w:val="22"/>
                    </w:rPr>
                    <w:t xml:space="preserve">ρατικής </w:t>
                  </w:r>
                  <w:r w:rsidR="00862782" w:rsidRPr="00853CA6">
                    <w:rPr>
                      <w:rFonts w:eastAsia="Arial"/>
                      <w:color w:val="auto"/>
                      <w:sz w:val="22"/>
                      <w:szCs w:val="22"/>
                    </w:rPr>
                    <w:t>β</w:t>
                  </w:r>
                  <w:r w:rsidR="007272A6" w:rsidRPr="00853CA6">
                    <w:rPr>
                      <w:rFonts w:eastAsia="Arial"/>
                      <w:color w:val="auto"/>
                      <w:sz w:val="22"/>
                      <w:szCs w:val="22"/>
                    </w:rPr>
                    <w:t xml:space="preserve">οήθειας </w:t>
                  </w:r>
                  <w:r w:rsidR="00CA3451" w:rsidRPr="00853CA6">
                    <w:rPr>
                      <w:rFonts w:eastAsia="Arial"/>
                      <w:color w:val="auto"/>
                      <w:sz w:val="22"/>
                      <w:szCs w:val="22"/>
                    </w:rPr>
                    <w:t xml:space="preserve">στο τέλος του 2025 </w:t>
                  </w:r>
                  <w:r w:rsidR="007272A6" w:rsidRPr="00853CA6">
                    <w:rPr>
                      <w:rFonts w:eastAsia="Arial"/>
                      <w:color w:val="auto"/>
                      <w:sz w:val="22"/>
                      <w:szCs w:val="22"/>
                    </w:rPr>
                    <w:t>ανέρχεται σε €1.</w:t>
                  </w:r>
                  <w:r w:rsidR="00CA3451" w:rsidRPr="00853CA6">
                    <w:rPr>
                      <w:rFonts w:eastAsia="Arial"/>
                      <w:color w:val="auto"/>
                      <w:sz w:val="22"/>
                      <w:szCs w:val="22"/>
                    </w:rPr>
                    <w:t>7</w:t>
                  </w:r>
                  <w:r w:rsidR="00E7060C" w:rsidRPr="00853CA6">
                    <w:rPr>
                      <w:rFonts w:eastAsia="Arial"/>
                      <w:color w:val="auto"/>
                      <w:sz w:val="22"/>
                      <w:szCs w:val="22"/>
                    </w:rPr>
                    <w:t>46</w:t>
                  </w:r>
                  <w:r w:rsidR="007272A6" w:rsidRPr="00853CA6">
                    <w:rPr>
                      <w:rFonts w:eastAsia="Arial"/>
                      <w:color w:val="auto"/>
                      <w:sz w:val="22"/>
                      <w:szCs w:val="22"/>
                    </w:rPr>
                    <w:t>εκ.</w:t>
                  </w:r>
                  <w:r w:rsidR="00704977" w:rsidRPr="00853CA6">
                    <w:rPr>
                      <w:rFonts w:eastAsia="Arial"/>
                      <w:color w:val="auto"/>
                      <w:sz w:val="22"/>
                      <w:szCs w:val="22"/>
                    </w:rPr>
                    <w:t xml:space="preserve"> </w:t>
                  </w:r>
                  <w:r w:rsidR="00814D5C" w:rsidRPr="00853CA6">
                    <w:rPr>
                      <w:rFonts w:eastAsia="Arial"/>
                      <w:color w:val="auto"/>
                      <w:sz w:val="22"/>
                      <w:szCs w:val="22"/>
                    </w:rPr>
                    <w:t xml:space="preserve">Τα στοιχεία ενεργητικού στο τέλος του </w:t>
                  </w:r>
                  <w:r w:rsidR="00A61D83" w:rsidRPr="00853CA6">
                    <w:rPr>
                      <w:rFonts w:eastAsia="Arial"/>
                      <w:color w:val="auto"/>
                      <w:sz w:val="22"/>
                      <w:szCs w:val="22"/>
                    </w:rPr>
                    <w:t>έτους</w:t>
                  </w:r>
                  <w:r w:rsidR="00814D5C" w:rsidRPr="00853CA6">
                    <w:rPr>
                      <w:rFonts w:eastAsia="Arial"/>
                      <w:color w:val="auto"/>
                      <w:sz w:val="22"/>
                      <w:szCs w:val="22"/>
                    </w:rPr>
                    <w:t xml:space="preserve">  διαμορφώθηκαν σε €</w:t>
                  </w:r>
                  <w:r w:rsidR="00195E67" w:rsidRPr="00853CA6">
                    <w:rPr>
                      <w:rFonts w:eastAsia="Arial"/>
                      <w:color w:val="auto"/>
                      <w:sz w:val="22"/>
                      <w:szCs w:val="22"/>
                    </w:rPr>
                    <w:t>5</w:t>
                  </w:r>
                  <w:r w:rsidR="00791743" w:rsidRPr="00853CA6">
                    <w:rPr>
                      <w:rFonts w:eastAsia="Arial"/>
                      <w:color w:val="auto"/>
                      <w:sz w:val="22"/>
                      <w:szCs w:val="22"/>
                    </w:rPr>
                    <w:t>,</w:t>
                  </w:r>
                  <w:r w:rsidR="00195E67" w:rsidRPr="00853CA6">
                    <w:rPr>
                      <w:rFonts w:eastAsia="Arial"/>
                      <w:color w:val="auto"/>
                      <w:sz w:val="22"/>
                      <w:szCs w:val="22"/>
                    </w:rPr>
                    <w:t>5</w:t>
                  </w:r>
                  <w:r w:rsidR="00814D5C" w:rsidRPr="00853CA6">
                    <w:rPr>
                      <w:rFonts w:eastAsia="Arial"/>
                      <w:color w:val="auto"/>
                      <w:sz w:val="22"/>
                      <w:szCs w:val="22"/>
                    </w:rPr>
                    <w:t>δις</w:t>
                  </w:r>
                  <w:r w:rsidR="00904CC6" w:rsidRPr="00853CA6">
                    <w:rPr>
                      <w:rFonts w:eastAsia="Arial"/>
                      <w:color w:val="auto"/>
                      <w:sz w:val="22"/>
                      <w:szCs w:val="22"/>
                    </w:rPr>
                    <w:t xml:space="preserve"> και συμπεριλαμβάνουν μετρητά και ρευστά περιουσιακά στοιχεία ύψους €1</w:t>
                  </w:r>
                  <w:r w:rsidR="00E7060C" w:rsidRPr="00853CA6">
                    <w:rPr>
                      <w:rFonts w:eastAsia="Arial"/>
                      <w:color w:val="auto"/>
                      <w:sz w:val="22"/>
                      <w:szCs w:val="22"/>
                    </w:rPr>
                    <w:t>85</w:t>
                  </w:r>
                  <w:r w:rsidR="00904CC6" w:rsidRPr="00853CA6">
                    <w:rPr>
                      <w:rFonts w:eastAsia="Arial"/>
                      <w:color w:val="auto"/>
                      <w:sz w:val="22"/>
                      <w:szCs w:val="22"/>
                    </w:rPr>
                    <w:t>εκ., ακίνητη περιουσία αξίας €3</w:t>
                  </w:r>
                  <w:r w:rsidR="00E7060C" w:rsidRPr="00853CA6">
                    <w:rPr>
                      <w:rFonts w:eastAsia="Arial"/>
                      <w:color w:val="auto"/>
                      <w:sz w:val="22"/>
                      <w:szCs w:val="22"/>
                    </w:rPr>
                    <w:t>8</w:t>
                  </w:r>
                  <w:r w:rsidR="00904CC6" w:rsidRPr="00853CA6">
                    <w:rPr>
                      <w:rFonts w:eastAsia="Arial"/>
                      <w:color w:val="auto"/>
                      <w:sz w:val="22"/>
                      <w:szCs w:val="22"/>
                    </w:rPr>
                    <w:t>2εκ. και εξυπηρετούμενες χορηγήσεις €6</w:t>
                  </w:r>
                  <w:r w:rsidR="00E7060C" w:rsidRPr="00853CA6">
                    <w:rPr>
                      <w:rFonts w:eastAsia="Arial"/>
                      <w:color w:val="auto"/>
                      <w:sz w:val="22"/>
                      <w:szCs w:val="22"/>
                    </w:rPr>
                    <w:t>21</w:t>
                  </w:r>
                  <w:r w:rsidR="00904CC6" w:rsidRPr="00853CA6">
                    <w:rPr>
                      <w:rFonts w:eastAsia="Arial"/>
                      <w:color w:val="auto"/>
                      <w:sz w:val="22"/>
                      <w:szCs w:val="22"/>
                    </w:rPr>
                    <w:t>εκ.</w:t>
                  </w:r>
                  <w:r w:rsidR="00DE2010" w:rsidRPr="00853CA6">
                    <w:rPr>
                      <w:rFonts w:eastAsia="Arial"/>
                      <w:color w:val="auto"/>
                      <w:sz w:val="22"/>
                      <w:szCs w:val="22"/>
                    </w:rPr>
                    <w:t xml:space="preserve"> </w:t>
                  </w:r>
                  <w:r w:rsidR="00E84D78" w:rsidRPr="00853CA6">
                    <w:rPr>
                      <w:rFonts w:eastAsia="Arial"/>
                      <w:color w:val="auto"/>
                      <w:sz w:val="22"/>
                      <w:szCs w:val="22"/>
                    </w:rPr>
                    <w:t xml:space="preserve"> </w:t>
                  </w:r>
                  <w:r w:rsidR="00DE2010" w:rsidRPr="00853CA6">
                    <w:rPr>
                      <w:rFonts w:eastAsia="Arial"/>
                      <w:color w:val="auto"/>
                      <w:sz w:val="22"/>
                      <w:szCs w:val="22"/>
                    </w:rPr>
                    <w:t>Στόχος του επιχειρηματικού πλάνου</w:t>
                  </w:r>
                  <w:r w:rsidR="00077DCC" w:rsidRPr="00853CA6">
                    <w:rPr>
                      <w:rFonts w:eastAsia="Arial"/>
                      <w:color w:val="auto"/>
                      <w:sz w:val="22"/>
                      <w:szCs w:val="22"/>
                    </w:rPr>
                    <w:t xml:space="preserve"> </w:t>
                  </w:r>
                  <w:r w:rsidR="00DE2010" w:rsidRPr="00853CA6">
                    <w:rPr>
                      <w:rFonts w:eastAsia="Arial"/>
                      <w:color w:val="auto"/>
                      <w:sz w:val="22"/>
                      <w:szCs w:val="22"/>
                    </w:rPr>
                    <w:t xml:space="preserve">παραμένει η αποπληρωμή της </w:t>
                  </w:r>
                  <w:r w:rsidR="004A6003" w:rsidRPr="00853CA6">
                    <w:rPr>
                      <w:rFonts w:eastAsia="Arial"/>
                      <w:color w:val="auto"/>
                      <w:sz w:val="22"/>
                      <w:szCs w:val="22"/>
                    </w:rPr>
                    <w:t>Κ</w:t>
                  </w:r>
                  <w:r w:rsidR="00DE2010" w:rsidRPr="00853CA6">
                    <w:rPr>
                      <w:rFonts w:eastAsia="Arial"/>
                      <w:color w:val="auto"/>
                      <w:sz w:val="22"/>
                      <w:szCs w:val="22"/>
                    </w:rPr>
                    <w:t xml:space="preserve">ρατικής </w:t>
                  </w:r>
                  <w:r w:rsidR="004A6003" w:rsidRPr="00853CA6">
                    <w:rPr>
                      <w:rFonts w:eastAsia="Arial"/>
                      <w:color w:val="auto"/>
                      <w:sz w:val="22"/>
                      <w:szCs w:val="22"/>
                    </w:rPr>
                    <w:t>Β</w:t>
                  </w:r>
                  <w:r w:rsidR="00DE2010" w:rsidRPr="00853CA6">
                    <w:rPr>
                      <w:rFonts w:eastAsia="Arial"/>
                      <w:color w:val="auto"/>
                      <w:sz w:val="22"/>
                      <w:szCs w:val="22"/>
                    </w:rPr>
                    <w:t>οήθειας ύψους €3,5</w:t>
                  </w:r>
                  <w:r w:rsidR="00A61D83" w:rsidRPr="00853CA6">
                    <w:rPr>
                      <w:rFonts w:eastAsia="Arial"/>
                      <w:color w:val="auto"/>
                      <w:sz w:val="22"/>
                      <w:szCs w:val="22"/>
                    </w:rPr>
                    <w:t>4</w:t>
                  </w:r>
                  <w:r w:rsidR="00DE2010" w:rsidRPr="00853CA6">
                    <w:rPr>
                      <w:rFonts w:eastAsia="Arial"/>
                      <w:color w:val="auto"/>
                      <w:sz w:val="22"/>
                      <w:szCs w:val="22"/>
                    </w:rPr>
                    <w:t>δις</w:t>
                  </w:r>
                  <w:r w:rsidR="000A70B2" w:rsidRPr="00853CA6">
                    <w:rPr>
                      <w:rFonts w:eastAsia="Arial"/>
                      <w:color w:val="auto"/>
                      <w:sz w:val="22"/>
                      <w:szCs w:val="22"/>
                    </w:rPr>
                    <w:t>.</w:t>
                  </w:r>
                  <w:r w:rsidR="00DE2010" w:rsidRPr="00853CA6">
                    <w:rPr>
                      <w:rFonts w:eastAsia="Arial"/>
                      <w:color w:val="auto"/>
                      <w:sz w:val="22"/>
                      <w:szCs w:val="22"/>
                    </w:rPr>
                    <w:t xml:space="preserve"> </w:t>
                  </w:r>
                  <w:r w:rsidR="00811739" w:rsidRPr="00853CA6">
                    <w:rPr>
                      <w:rFonts w:eastAsia="Arial"/>
                      <w:color w:val="auto"/>
                      <w:sz w:val="22"/>
                      <w:szCs w:val="22"/>
                    </w:rPr>
                    <w:t xml:space="preserve"> </w:t>
                  </w:r>
                </w:p>
                <w:p w14:paraId="571E639B" w14:textId="6C7B00A8" w:rsidR="00F87758" w:rsidRPr="00F60F90" w:rsidRDefault="00F87758" w:rsidP="00547AA2">
                  <w:pPr>
                    <w:pStyle w:val="Default"/>
                    <w:framePr w:hSpace="180" w:wrap="around" w:vAnchor="text" w:hAnchor="margin" w:x="-293" w:y="30"/>
                    <w:contextualSpacing/>
                    <w:jc w:val="both"/>
                    <w:rPr>
                      <w:rFonts w:eastAsia="Arial"/>
                      <w:color w:val="auto"/>
                      <w:sz w:val="22"/>
                      <w:szCs w:val="22"/>
                    </w:rPr>
                  </w:pPr>
                </w:p>
                <w:p w14:paraId="4E1B8F69" w14:textId="190A4A6D" w:rsidR="00E84D78" w:rsidRPr="00640025" w:rsidRDefault="00EC2E7D" w:rsidP="00547AA2">
                  <w:pPr>
                    <w:pStyle w:val="Default"/>
                    <w:framePr w:hSpace="180" w:wrap="around" w:vAnchor="text" w:hAnchor="margin" w:x="-293" w:y="30"/>
                    <w:numPr>
                      <w:ilvl w:val="0"/>
                      <w:numId w:val="3"/>
                    </w:numPr>
                    <w:ind w:left="0"/>
                    <w:contextualSpacing/>
                    <w:jc w:val="both"/>
                    <w:rPr>
                      <w:rFonts w:eastAsia="Arial"/>
                      <w:color w:val="auto"/>
                      <w:sz w:val="22"/>
                      <w:szCs w:val="22"/>
                    </w:rPr>
                  </w:pPr>
                  <w:r w:rsidRPr="00640025">
                    <w:rPr>
                      <w:rFonts w:eastAsia="Arial"/>
                      <w:color w:val="auto"/>
                      <w:sz w:val="22"/>
                      <w:szCs w:val="22"/>
                    </w:rPr>
                    <w:t>Στις 30 Ιανουαρίου 2026</w:t>
                  </w:r>
                  <w:r w:rsidR="00D86922" w:rsidRPr="00E57D1A">
                    <w:rPr>
                      <w:rFonts w:eastAsia="Arial"/>
                      <w:color w:val="auto"/>
                      <w:sz w:val="22"/>
                      <w:szCs w:val="22"/>
                    </w:rPr>
                    <w:t>,</w:t>
                  </w:r>
                  <w:r w:rsidRPr="00640025">
                    <w:rPr>
                      <w:rFonts w:eastAsia="Arial"/>
                      <w:color w:val="auto"/>
                      <w:sz w:val="22"/>
                      <w:szCs w:val="22"/>
                    </w:rPr>
                    <w:t xml:space="preserve"> </w:t>
                  </w:r>
                  <w:r w:rsidR="00E970DA" w:rsidRPr="00640025">
                    <w:rPr>
                      <w:rFonts w:eastAsia="Arial"/>
                      <w:color w:val="auto"/>
                      <w:sz w:val="22"/>
                      <w:szCs w:val="22"/>
                    </w:rPr>
                    <w:t>έχουν ολοκληρωθεί οι συμφωνίες μέσω των οποίων υλοποιήθηκε η προκαταρ</w:t>
                  </w:r>
                  <w:r w:rsidR="009B61E5">
                    <w:rPr>
                      <w:rFonts w:eastAsia="Arial"/>
                      <w:color w:val="auto"/>
                      <w:sz w:val="22"/>
                      <w:szCs w:val="22"/>
                    </w:rPr>
                    <w:t>κ</w:t>
                  </w:r>
                  <w:r w:rsidR="00E970DA" w:rsidRPr="00640025">
                    <w:rPr>
                      <w:rFonts w:eastAsia="Arial"/>
                      <w:color w:val="auto"/>
                      <w:sz w:val="22"/>
                      <w:szCs w:val="22"/>
                    </w:rPr>
                    <w:t xml:space="preserve">τική συμφωνία μεταξύ ΚΕΔΙΠΕΣ και </w:t>
                  </w:r>
                  <w:proofErr w:type="spellStart"/>
                  <w:r w:rsidR="00E970DA" w:rsidRPr="00640025">
                    <w:rPr>
                      <w:rFonts w:eastAsia="Arial"/>
                      <w:color w:val="auto"/>
                      <w:sz w:val="22"/>
                      <w:szCs w:val="22"/>
                    </w:rPr>
                    <w:t>Eurobank</w:t>
                  </w:r>
                  <w:proofErr w:type="spellEnd"/>
                  <w:r w:rsidR="00E970DA" w:rsidRPr="00640025">
                    <w:rPr>
                      <w:rFonts w:eastAsia="Arial"/>
                      <w:color w:val="auto"/>
                      <w:sz w:val="22"/>
                      <w:szCs w:val="22"/>
                    </w:rPr>
                    <w:t xml:space="preserve"> </w:t>
                  </w:r>
                  <w:r w:rsidR="009B61E5">
                    <w:rPr>
                      <w:rFonts w:eastAsia="Arial"/>
                      <w:color w:val="auto"/>
                      <w:sz w:val="22"/>
                      <w:szCs w:val="22"/>
                      <w:lang w:val="en-GB"/>
                    </w:rPr>
                    <w:t>Limited</w:t>
                  </w:r>
                  <w:r w:rsidR="00E970DA" w:rsidRPr="00640025">
                    <w:rPr>
                      <w:rFonts w:eastAsia="Arial"/>
                      <w:color w:val="auto"/>
                      <w:sz w:val="22"/>
                      <w:szCs w:val="22"/>
                    </w:rPr>
                    <w:t xml:space="preserve"> (πρώην Ελληνική Τράπεζα) για τον τερματισμό του Σχεδίου Εγγύησης Δανείων και την επαναγορά σχετικού χαρτοφυλακίου μη-εξυπηρετούμενων δανείων</w:t>
                  </w:r>
                  <w:r w:rsidR="00215245">
                    <w:rPr>
                      <w:rStyle w:val="FootnoteReference"/>
                      <w:rFonts w:eastAsia="Arial"/>
                      <w:color w:val="auto"/>
                      <w:sz w:val="22"/>
                      <w:szCs w:val="22"/>
                    </w:rPr>
                    <w:footnoteReference w:id="1"/>
                  </w:r>
                  <w:r w:rsidR="00E970DA" w:rsidRPr="00640025">
                    <w:rPr>
                      <w:rFonts w:eastAsia="Arial"/>
                      <w:color w:val="auto"/>
                      <w:sz w:val="22"/>
                      <w:szCs w:val="22"/>
                    </w:rPr>
                    <w:t>, καθώς και τον τερματισμό των υποχρεώσεων και εγγυήσεων αποζημιώσεων σε σχέση με την Συμφωνία Μεταφοράς Περιουσιακών Στοιχείων, με την οποία έγινε η πώληση των τραπεζικών εργασιών της πρώην Συνεργατικής Κυπριακής Τράπεζας στην Ελληνική Τράπεζα το 2018</w:t>
                  </w:r>
                  <w:r w:rsidR="00D14A25">
                    <w:rPr>
                      <w:rStyle w:val="FootnoteReference"/>
                      <w:rFonts w:eastAsia="Arial"/>
                      <w:color w:val="auto"/>
                      <w:sz w:val="22"/>
                      <w:szCs w:val="22"/>
                    </w:rPr>
                    <w:footnoteReference w:id="2"/>
                  </w:r>
                  <w:r w:rsidR="00E970DA" w:rsidRPr="00640025">
                    <w:rPr>
                      <w:rFonts w:eastAsia="Arial"/>
                      <w:color w:val="auto"/>
                      <w:sz w:val="22"/>
                      <w:szCs w:val="22"/>
                    </w:rPr>
                    <w:t xml:space="preserve">. </w:t>
                  </w:r>
                </w:p>
                <w:p w14:paraId="664E8718" w14:textId="77777777" w:rsidR="00E970DA" w:rsidRPr="00640025" w:rsidRDefault="00E970DA" w:rsidP="00547AA2">
                  <w:pPr>
                    <w:pStyle w:val="Default"/>
                    <w:framePr w:hSpace="180" w:wrap="around" w:vAnchor="text" w:hAnchor="margin" w:x="-293" w:y="30"/>
                    <w:numPr>
                      <w:ilvl w:val="0"/>
                      <w:numId w:val="3"/>
                    </w:numPr>
                    <w:ind w:left="0"/>
                    <w:contextualSpacing/>
                    <w:jc w:val="both"/>
                    <w:rPr>
                      <w:rFonts w:eastAsia="Arial"/>
                      <w:color w:val="auto"/>
                      <w:sz w:val="22"/>
                      <w:szCs w:val="22"/>
                    </w:rPr>
                  </w:pPr>
                </w:p>
                <w:p w14:paraId="19D282DA" w14:textId="79FC6E3B" w:rsidR="004A76E6" w:rsidRPr="00640025" w:rsidRDefault="00E970DA" w:rsidP="00547AA2">
                  <w:pPr>
                    <w:pStyle w:val="Default"/>
                    <w:framePr w:hSpace="180" w:wrap="around" w:vAnchor="text" w:hAnchor="margin" w:x="-293" w:y="30"/>
                    <w:numPr>
                      <w:ilvl w:val="0"/>
                      <w:numId w:val="3"/>
                    </w:numPr>
                    <w:adjustRightInd/>
                    <w:ind w:left="0"/>
                    <w:contextualSpacing/>
                    <w:jc w:val="both"/>
                    <w:rPr>
                      <w:rFonts w:eastAsia="Arial"/>
                      <w:color w:val="auto"/>
                    </w:rPr>
                  </w:pPr>
                  <w:r w:rsidRPr="00640025">
                    <w:rPr>
                      <w:rFonts w:eastAsia="Arial"/>
                      <w:color w:val="auto"/>
                      <w:sz w:val="22"/>
                      <w:szCs w:val="22"/>
                    </w:rPr>
                    <w:t>Η ολοκλήρωση τ</w:t>
                  </w:r>
                  <w:r w:rsidR="00B96695" w:rsidRPr="00640025">
                    <w:rPr>
                      <w:rFonts w:eastAsia="Arial"/>
                      <w:color w:val="auto"/>
                      <w:sz w:val="22"/>
                      <w:szCs w:val="22"/>
                    </w:rPr>
                    <w:t xml:space="preserve">ων πιο πάνω συμφωνιών </w:t>
                  </w:r>
                  <w:r w:rsidRPr="00640025">
                    <w:rPr>
                      <w:rFonts w:eastAsia="Arial"/>
                      <w:color w:val="auto"/>
                      <w:sz w:val="22"/>
                      <w:szCs w:val="22"/>
                    </w:rPr>
                    <w:t>αποτελεί επιστέγασμα μιας απαιτητικής και μακρόχρονης προσπάθειας που πέτυχε τον οριστικό τερματισμό των υποχρεώσεων και εγγυήσεων που δόθηκαν το 2018 από την ΚΕΔΙΠΕΣ/ ΣΕΔΙΠΕΣ και την Κυπριακή Δημοκρατία προς την Ελληνική Τράπεζα.</w:t>
                  </w:r>
                  <w:r w:rsidR="00035DC1" w:rsidRPr="00640025">
                    <w:rPr>
                      <w:rFonts w:asciiTheme="minorHAnsi" w:hAnsiTheme="minorHAnsi" w:cstheme="minorBidi"/>
                      <w:color w:val="auto"/>
                    </w:rPr>
                    <w:t xml:space="preserve"> </w:t>
                  </w:r>
                  <w:r w:rsidR="00640025" w:rsidRPr="00640025">
                    <w:rPr>
                      <w:color w:val="auto"/>
                      <w:sz w:val="22"/>
                      <w:szCs w:val="22"/>
                    </w:rPr>
                    <w:t xml:space="preserve"> Επίσης,</w:t>
                  </w:r>
                  <w:r w:rsidR="00640025" w:rsidRPr="00640025">
                    <w:rPr>
                      <w:rFonts w:asciiTheme="minorHAnsi" w:hAnsiTheme="minorHAnsi" w:cstheme="minorBidi"/>
                      <w:color w:val="auto"/>
                    </w:rPr>
                    <w:t xml:space="preserve"> </w:t>
                  </w:r>
                  <w:r w:rsidR="00E84D78" w:rsidRPr="00640025">
                    <w:rPr>
                      <w:rFonts w:eastAsia="Arial"/>
                      <w:color w:val="auto"/>
                      <w:sz w:val="22"/>
                      <w:szCs w:val="22"/>
                    </w:rPr>
                    <w:t>διασφ</w:t>
                  </w:r>
                  <w:r w:rsidR="00554183">
                    <w:rPr>
                      <w:rFonts w:eastAsia="Arial"/>
                      <w:color w:val="auto"/>
                      <w:sz w:val="22"/>
                      <w:szCs w:val="22"/>
                    </w:rPr>
                    <w:t>αλίζει</w:t>
                  </w:r>
                  <w:r w:rsidR="00740C0F" w:rsidRPr="00640025">
                    <w:rPr>
                      <w:rFonts w:eastAsia="Arial"/>
                      <w:color w:val="auto"/>
                      <w:sz w:val="22"/>
                      <w:szCs w:val="22"/>
                    </w:rPr>
                    <w:t xml:space="preserve"> τον περιορισμό του </w:t>
                  </w:r>
                  <w:r w:rsidR="0072688A" w:rsidRPr="00640025">
                    <w:rPr>
                      <w:rFonts w:eastAsia="Arial"/>
                      <w:color w:val="auto"/>
                      <w:sz w:val="22"/>
                      <w:szCs w:val="22"/>
                    </w:rPr>
                    <w:t xml:space="preserve">καθαρού </w:t>
                  </w:r>
                  <w:r w:rsidR="00740C0F" w:rsidRPr="00640025">
                    <w:rPr>
                      <w:rFonts w:eastAsia="Arial"/>
                      <w:color w:val="auto"/>
                      <w:sz w:val="22"/>
                      <w:szCs w:val="22"/>
                    </w:rPr>
                    <w:t xml:space="preserve">κόστους του Σχεδίου Εγγύησης Δανείων </w:t>
                  </w:r>
                  <w:r w:rsidR="009604B0" w:rsidRPr="00640025">
                    <w:rPr>
                      <w:rFonts w:eastAsia="Arial"/>
                      <w:color w:val="auto"/>
                      <w:sz w:val="22"/>
                      <w:szCs w:val="22"/>
                    </w:rPr>
                    <w:t>στα</w:t>
                  </w:r>
                  <w:r w:rsidR="00484D13" w:rsidRPr="00640025">
                    <w:rPr>
                      <w:rFonts w:eastAsia="Arial"/>
                      <w:color w:val="auto"/>
                      <w:sz w:val="22"/>
                      <w:szCs w:val="22"/>
                    </w:rPr>
                    <w:t xml:space="preserve"> </w:t>
                  </w:r>
                  <w:r w:rsidR="00484D13" w:rsidRPr="00640025">
                    <w:rPr>
                      <w:rFonts w:eastAsia="Arial"/>
                      <w:sz w:val="22"/>
                      <w:szCs w:val="22"/>
                    </w:rPr>
                    <w:t>€</w:t>
                  </w:r>
                  <w:r w:rsidR="00484D13" w:rsidRPr="00640025">
                    <w:rPr>
                      <w:rFonts w:eastAsia="Arial"/>
                      <w:color w:val="auto"/>
                      <w:sz w:val="22"/>
                      <w:szCs w:val="22"/>
                    </w:rPr>
                    <w:t>7</w:t>
                  </w:r>
                  <w:r w:rsidR="00CD5F05" w:rsidRPr="00CB0CCC">
                    <w:rPr>
                      <w:rFonts w:eastAsia="Arial"/>
                      <w:color w:val="auto"/>
                      <w:sz w:val="22"/>
                      <w:szCs w:val="22"/>
                    </w:rPr>
                    <w:t>4</w:t>
                  </w:r>
                  <w:r w:rsidR="00484D13" w:rsidRPr="00640025">
                    <w:rPr>
                      <w:rFonts w:eastAsia="Arial"/>
                      <w:color w:val="auto"/>
                      <w:sz w:val="22"/>
                      <w:szCs w:val="22"/>
                    </w:rPr>
                    <w:t>εκ</w:t>
                  </w:r>
                  <w:r w:rsidR="00CD5F05" w:rsidRPr="00CB0CCC">
                    <w:rPr>
                      <w:rFonts w:eastAsia="Arial"/>
                      <w:color w:val="auto"/>
                      <w:sz w:val="22"/>
                      <w:szCs w:val="22"/>
                    </w:rPr>
                    <w:t>.</w:t>
                  </w:r>
                  <w:r w:rsidR="00484D13" w:rsidRPr="00640025">
                    <w:rPr>
                      <w:rFonts w:eastAsia="Arial"/>
                      <w:color w:val="auto"/>
                      <w:sz w:val="22"/>
                      <w:szCs w:val="22"/>
                    </w:rPr>
                    <w:t xml:space="preserve">, </w:t>
                  </w:r>
                  <w:r w:rsidR="009B61E5">
                    <w:rPr>
                      <w:rFonts w:eastAsia="Arial"/>
                      <w:color w:val="auto"/>
                      <w:sz w:val="22"/>
                      <w:szCs w:val="22"/>
                    </w:rPr>
                    <w:t xml:space="preserve">που αντιστοιχεί περίπου στο ήμισυ </w:t>
                  </w:r>
                  <w:r w:rsidR="00740C0F" w:rsidRPr="00640025">
                    <w:rPr>
                      <w:rFonts w:eastAsia="Arial"/>
                      <w:color w:val="auto"/>
                      <w:sz w:val="22"/>
                      <w:szCs w:val="22"/>
                    </w:rPr>
                    <w:t xml:space="preserve">του βασικού σεναρίου εκτίμησης του 2018 ύψους </w:t>
                  </w:r>
                  <w:r w:rsidR="00740C0F" w:rsidRPr="00640025">
                    <w:rPr>
                      <w:rFonts w:eastAsia="Arial"/>
                      <w:color w:val="auto"/>
                      <w:sz w:val="22"/>
                      <w:szCs w:val="22"/>
                    </w:rPr>
                    <w:lastRenderedPageBreak/>
                    <w:t>€155εκ</w:t>
                  </w:r>
                  <w:r w:rsidR="0032001A" w:rsidRPr="00640025">
                    <w:rPr>
                      <w:rFonts w:eastAsia="Arial"/>
                      <w:color w:val="auto"/>
                      <w:sz w:val="22"/>
                      <w:szCs w:val="22"/>
                    </w:rPr>
                    <w:t>,</w:t>
                  </w:r>
                  <w:r w:rsidR="008E75BB" w:rsidRPr="00640025">
                    <w:rPr>
                      <w:rFonts w:eastAsia="Arial"/>
                      <w:color w:val="auto"/>
                      <w:sz w:val="22"/>
                      <w:szCs w:val="22"/>
                    </w:rPr>
                    <w:t xml:space="preserve"> ενώ</w:t>
                  </w:r>
                  <w:r w:rsidR="0049378D" w:rsidRPr="00640025">
                    <w:rPr>
                      <w:rFonts w:eastAsia="Arial"/>
                      <w:color w:val="auto"/>
                      <w:sz w:val="22"/>
                      <w:szCs w:val="22"/>
                    </w:rPr>
                    <w:t xml:space="preserve"> θα δώσει επίσης την δυνατότητα στην ΚΕΔΙΠΕΣ, μέσω της διαχείρισης </w:t>
                  </w:r>
                  <w:r w:rsidR="007B181C" w:rsidRPr="00640025">
                    <w:rPr>
                      <w:rFonts w:eastAsia="Arial"/>
                      <w:color w:val="auto"/>
                      <w:sz w:val="22"/>
                      <w:szCs w:val="22"/>
                    </w:rPr>
                    <w:t>του χαρτοφυλακίου</w:t>
                  </w:r>
                  <w:r w:rsidR="00640025" w:rsidRPr="00640025">
                    <w:rPr>
                      <w:rFonts w:eastAsia="Arial"/>
                      <w:color w:val="auto"/>
                      <w:sz w:val="22"/>
                      <w:szCs w:val="22"/>
                    </w:rPr>
                    <w:t xml:space="preserve"> που έχει αποκτηθεί</w:t>
                  </w:r>
                  <w:r w:rsidR="0049378D" w:rsidRPr="00640025">
                    <w:rPr>
                      <w:rFonts w:eastAsia="Arial"/>
                      <w:color w:val="auto"/>
                      <w:sz w:val="22"/>
                      <w:szCs w:val="22"/>
                    </w:rPr>
                    <w:t xml:space="preserve">, να </w:t>
                  </w:r>
                  <w:r w:rsidR="007B181C" w:rsidRPr="00640025">
                    <w:rPr>
                      <w:rFonts w:eastAsia="Arial"/>
                      <w:color w:val="auto"/>
                      <w:sz w:val="22"/>
                      <w:szCs w:val="22"/>
                    </w:rPr>
                    <w:t xml:space="preserve">μειώσει περισσότερο αυτό το </w:t>
                  </w:r>
                  <w:r w:rsidR="004963D6" w:rsidRPr="00640025">
                    <w:rPr>
                      <w:rFonts w:eastAsia="Arial"/>
                      <w:color w:val="auto"/>
                      <w:sz w:val="22"/>
                      <w:szCs w:val="22"/>
                    </w:rPr>
                    <w:t xml:space="preserve">κόστος. </w:t>
                  </w:r>
                </w:p>
                <w:p w14:paraId="32D3D7B3" w14:textId="77777777" w:rsidR="00640025" w:rsidRPr="00640025" w:rsidRDefault="00640025" w:rsidP="00547AA2">
                  <w:pPr>
                    <w:pStyle w:val="Default"/>
                    <w:framePr w:hSpace="180" w:wrap="around" w:vAnchor="text" w:hAnchor="margin" w:x="-293" w:y="30"/>
                    <w:numPr>
                      <w:ilvl w:val="0"/>
                      <w:numId w:val="3"/>
                    </w:numPr>
                    <w:adjustRightInd/>
                    <w:ind w:left="0"/>
                    <w:contextualSpacing/>
                    <w:jc w:val="both"/>
                    <w:rPr>
                      <w:rFonts w:eastAsia="Arial"/>
                      <w:color w:val="auto"/>
                    </w:rPr>
                  </w:pPr>
                </w:p>
                <w:p w14:paraId="11CECDAF" w14:textId="509A03FE" w:rsidR="004A76E6" w:rsidRPr="00640025" w:rsidRDefault="00A94D17" w:rsidP="00547AA2">
                  <w:pPr>
                    <w:pStyle w:val="Default"/>
                    <w:framePr w:hSpace="180" w:wrap="around" w:vAnchor="text" w:hAnchor="margin" w:x="-293" w:y="30"/>
                    <w:adjustRightInd/>
                    <w:contextualSpacing/>
                    <w:jc w:val="both"/>
                    <w:rPr>
                      <w:rFonts w:eastAsia="Arial"/>
                      <w:color w:val="auto"/>
                      <w:sz w:val="22"/>
                      <w:szCs w:val="22"/>
                    </w:rPr>
                  </w:pPr>
                  <w:r w:rsidRPr="00640025">
                    <w:rPr>
                      <w:rFonts w:eastAsia="Arial"/>
                      <w:color w:val="auto"/>
                      <w:sz w:val="22"/>
                      <w:szCs w:val="22"/>
                    </w:rPr>
                    <w:t>Η ε</w:t>
                  </w:r>
                  <w:r w:rsidR="004A76E6" w:rsidRPr="00640025">
                    <w:rPr>
                      <w:rFonts w:eastAsia="Arial"/>
                      <w:color w:val="auto"/>
                      <w:sz w:val="22"/>
                      <w:szCs w:val="22"/>
                    </w:rPr>
                    <w:t xml:space="preserve">παναγορά από την ΚΕΔΙΠΕΣ </w:t>
                  </w:r>
                  <w:r w:rsidRPr="00640025">
                    <w:rPr>
                      <w:rFonts w:eastAsia="Arial"/>
                      <w:color w:val="auto"/>
                      <w:sz w:val="22"/>
                      <w:szCs w:val="22"/>
                    </w:rPr>
                    <w:t xml:space="preserve">των </w:t>
                  </w:r>
                  <w:r w:rsidR="004A76E6" w:rsidRPr="00640025">
                    <w:rPr>
                      <w:rFonts w:eastAsia="Arial"/>
                      <w:color w:val="auto"/>
                      <w:sz w:val="22"/>
                      <w:szCs w:val="22"/>
                    </w:rPr>
                    <w:t xml:space="preserve">μη-εξυπηρετούμενων δανείων που </w:t>
                  </w:r>
                  <w:r w:rsidRPr="00640025">
                    <w:rPr>
                      <w:rFonts w:eastAsia="Arial"/>
                      <w:color w:val="auto"/>
                      <w:sz w:val="22"/>
                      <w:szCs w:val="22"/>
                    </w:rPr>
                    <w:t xml:space="preserve">ήταν </w:t>
                  </w:r>
                  <w:r w:rsidR="004A76E6" w:rsidRPr="009B61E5">
                    <w:rPr>
                      <w:rFonts w:eastAsia="Arial"/>
                      <w:color w:val="auto"/>
                      <w:sz w:val="22"/>
                      <w:szCs w:val="22"/>
                    </w:rPr>
                    <w:t xml:space="preserve">ενταγμένα στο </w:t>
                  </w:r>
                  <w:r w:rsidRPr="009B61E5">
                    <w:rPr>
                      <w:bCs/>
                      <w:sz w:val="22"/>
                      <w:szCs w:val="22"/>
                    </w:rPr>
                    <w:t>Σχ</w:t>
                  </w:r>
                  <w:r w:rsidR="002A64F9" w:rsidRPr="009B61E5">
                    <w:rPr>
                      <w:bCs/>
                      <w:sz w:val="22"/>
                      <w:szCs w:val="22"/>
                    </w:rPr>
                    <w:t>έ</w:t>
                  </w:r>
                  <w:r w:rsidRPr="009B61E5">
                    <w:rPr>
                      <w:bCs/>
                      <w:sz w:val="22"/>
                      <w:szCs w:val="22"/>
                    </w:rPr>
                    <w:t>δ</w:t>
                  </w:r>
                  <w:r w:rsidR="002A64F9" w:rsidRPr="009B61E5">
                    <w:rPr>
                      <w:bCs/>
                      <w:sz w:val="22"/>
                      <w:szCs w:val="22"/>
                    </w:rPr>
                    <w:t>ι</w:t>
                  </w:r>
                  <w:r w:rsidRPr="009B61E5">
                    <w:rPr>
                      <w:bCs/>
                      <w:sz w:val="22"/>
                      <w:szCs w:val="22"/>
                    </w:rPr>
                    <w:t>ο Εγγύησης Δανείων</w:t>
                  </w:r>
                  <w:r w:rsidR="00443CB2" w:rsidRPr="009B61E5">
                    <w:rPr>
                      <w:bCs/>
                      <w:sz w:val="22"/>
                      <w:szCs w:val="22"/>
                    </w:rPr>
                    <w:t>,</w:t>
                  </w:r>
                  <w:r w:rsidRPr="009B61E5">
                    <w:rPr>
                      <w:bCs/>
                      <w:sz w:val="22"/>
                      <w:szCs w:val="22"/>
                    </w:rPr>
                    <w:t xml:space="preserve"> ολοκληρώθηκε </w:t>
                  </w:r>
                  <w:r w:rsidR="00215245">
                    <w:rPr>
                      <w:bCs/>
                      <w:sz w:val="22"/>
                      <w:szCs w:val="22"/>
                    </w:rPr>
                    <w:t xml:space="preserve">με </w:t>
                  </w:r>
                  <w:r w:rsidR="00A94040" w:rsidRPr="009B61E5">
                    <w:rPr>
                      <w:bCs/>
                      <w:sz w:val="22"/>
                      <w:szCs w:val="22"/>
                    </w:rPr>
                    <w:t xml:space="preserve">τίμημα </w:t>
                  </w:r>
                  <w:r w:rsidR="00215245">
                    <w:rPr>
                      <w:bCs/>
                      <w:sz w:val="22"/>
                      <w:szCs w:val="22"/>
                    </w:rPr>
                    <w:t>στα</w:t>
                  </w:r>
                  <w:r w:rsidR="00A94040" w:rsidRPr="009B61E5">
                    <w:rPr>
                      <w:bCs/>
                      <w:sz w:val="22"/>
                      <w:szCs w:val="22"/>
                    </w:rPr>
                    <w:t xml:space="preserve"> </w:t>
                  </w:r>
                  <w:r w:rsidR="00A94040" w:rsidRPr="009B61E5">
                    <w:rPr>
                      <w:rFonts w:eastAsia="Arial"/>
                      <w:color w:val="auto"/>
                      <w:sz w:val="22"/>
                      <w:szCs w:val="22"/>
                    </w:rPr>
                    <w:t>€</w:t>
                  </w:r>
                  <w:r w:rsidR="00640025" w:rsidRPr="00CB0CCC">
                    <w:rPr>
                      <w:rFonts w:eastAsia="Arial"/>
                      <w:color w:val="auto"/>
                      <w:sz w:val="22"/>
                      <w:szCs w:val="22"/>
                    </w:rPr>
                    <w:t>110</w:t>
                  </w:r>
                  <w:r w:rsidR="00640025" w:rsidRPr="009B61E5">
                    <w:rPr>
                      <w:rFonts w:eastAsia="Arial"/>
                      <w:color w:val="auto"/>
                      <w:sz w:val="22"/>
                      <w:szCs w:val="22"/>
                    </w:rPr>
                    <w:t>εκ</w:t>
                  </w:r>
                  <w:r w:rsidR="00A94040" w:rsidRPr="009B61E5">
                    <w:rPr>
                      <w:rFonts w:eastAsia="Arial"/>
                      <w:color w:val="auto"/>
                      <w:sz w:val="22"/>
                      <w:szCs w:val="22"/>
                    </w:rPr>
                    <w:t>.</w:t>
                  </w:r>
                  <w:r w:rsidR="009B61E5" w:rsidRPr="009B61E5">
                    <w:rPr>
                      <w:rStyle w:val="FootnoteReference"/>
                      <w:rFonts w:eastAsia="Arial"/>
                      <w:color w:val="auto"/>
                      <w:sz w:val="22"/>
                      <w:szCs w:val="22"/>
                    </w:rPr>
                    <w:footnoteReference w:id="3"/>
                  </w:r>
                  <w:r w:rsidR="00A94040" w:rsidRPr="009B61E5">
                    <w:rPr>
                      <w:rFonts w:eastAsia="Arial"/>
                      <w:color w:val="auto"/>
                      <w:sz w:val="22"/>
                      <w:szCs w:val="22"/>
                    </w:rPr>
                    <w:t xml:space="preserve"> </w:t>
                  </w:r>
                  <w:r w:rsidR="00473428" w:rsidRPr="009B61E5">
                    <w:rPr>
                      <w:rFonts w:eastAsia="Arial"/>
                      <w:color w:val="auto"/>
                      <w:sz w:val="22"/>
                      <w:szCs w:val="22"/>
                    </w:rPr>
                    <w:t xml:space="preserve">για την αγορά </w:t>
                  </w:r>
                  <w:r w:rsidR="002A64F9" w:rsidRPr="009B61E5">
                    <w:rPr>
                      <w:rFonts w:eastAsia="Arial"/>
                      <w:color w:val="auto"/>
                      <w:sz w:val="22"/>
                      <w:szCs w:val="22"/>
                    </w:rPr>
                    <w:t>δανείων</w:t>
                  </w:r>
                  <w:r w:rsidR="00473428" w:rsidRPr="009B61E5">
                    <w:rPr>
                      <w:rFonts w:eastAsia="Arial"/>
                      <w:color w:val="auto"/>
                      <w:sz w:val="22"/>
                      <w:szCs w:val="22"/>
                    </w:rPr>
                    <w:t xml:space="preserve"> </w:t>
                  </w:r>
                  <w:r w:rsidR="004A76E6" w:rsidRPr="009B61E5">
                    <w:rPr>
                      <w:rFonts w:eastAsia="Arial"/>
                      <w:color w:val="auto"/>
                      <w:sz w:val="22"/>
                      <w:szCs w:val="22"/>
                    </w:rPr>
                    <w:t>με συμβατική αξία €</w:t>
                  </w:r>
                  <w:r w:rsidR="00640025" w:rsidRPr="00CB0CCC">
                    <w:rPr>
                      <w:rFonts w:eastAsia="Arial"/>
                      <w:sz w:val="22"/>
                      <w:szCs w:val="22"/>
                    </w:rPr>
                    <w:t>287</w:t>
                  </w:r>
                  <w:r w:rsidR="004A76E6" w:rsidRPr="00CB0CCC">
                    <w:rPr>
                      <w:rFonts w:eastAsia="Arial"/>
                      <w:color w:val="auto"/>
                      <w:sz w:val="22"/>
                      <w:szCs w:val="22"/>
                    </w:rPr>
                    <w:t>ε</w:t>
                  </w:r>
                  <w:r w:rsidR="004A76E6" w:rsidRPr="009B61E5">
                    <w:rPr>
                      <w:rFonts w:eastAsia="Arial"/>
                      <w:color w:val="auto"/>
                      <w:sz w:val="22"/>
                      <w:szCs w:val="22"/>
                    </w:rPr>
                    <w:t>κ.</w:t>
                  </w:r>
                  <w:r w:rsidR="00473428" w:rsidRPr="009B61E5">
                    <w:rPr>
                      <w:rFonts w:eastAsia="Arial"/>
                      <w:color w:val="auto"/>
                      <w:sz w:val="22"/>
                      <w:szCs w:val="22"/>
                    </w:rPr>
                    <w:t xml:space="preserve"> Σημειώνεται ότι η μείωση </w:t>
                  </w:r>
                  <w:r w:rsidR="00F02292" w:rsidRPr="009B61E5">
                    <w:rPr>
                      <w:rFonts w:eastAsia="Arial"/>
                      <w:color w:val="auto"/>
                      <w:sz w:val="22"/>
                      <w:szCs w:val="22"/>
                    </w:rPr>
                    <w:t xml:space="preserve">κατά </w:t>
                  </w:r>
                  <w:r w:rsidR="00F02292" w:rsidRPr="00CB0CCC">
                    <w:rPr>
                      <w:rFonts w:eastAsia="Arial"/>
                      <w:color w:val="auto"/>
                      <w:sz w:val="22"/>
                      <w:szCs w:val="22"/>
                    </w:rPr>
                    <w:t>€</w:t>
                  </w:r>
                  <w:r w:rsidR="00640025" w:rsidRPr="00CB0CCC">
                    <w:rPr>
                      <w:rFonts w:eastAsia="Arial"/>
                      <w:color w:val="auto"/>
                      <w:sz w:val="22"/>
                      <w:szCs w:val="22"/>
                    </w:rPr>
                    <w:t>7</w:t>
                  </w:r>
                  <w:r w:rsidR="00F02292" w:rsidRPr="00CB0CCC">
                    <w:rPr>
                      <w:rFonts w:eastAsia="Arial"/>
                      <w:color w:val="auto"/>
                      <w:sz w:val="22"/>
                      <w:szCs w:val="22"/>
                    </w:rPr>
                    <w:t>0</w:t>
                  </w:r>
                  <w:r w:rsidR="00215245">
                    <w:rPr>
                      <w:rFonts w:eastAsia="Arial"/>
                      <w:color w:val="auto"/>
                      <w:sz w:val="22"/>
                      <w:szCs w:val="22"/>
                    </w:rPr>
                    <w:t>ε</w:t>
                  </w:r>
                  <w:r w:rsidR="00F02292" w:rsidRPr="009B61E5">
                    <w:rPr>
                      <w:rFonts w:eastAsia="Arial"/>
                      <w:color w:val="auto"/>
                      <w:sz w:val="22"/>
                      <w:szCs w:val="22"/>
                    </w:rPr>
                    <w:t xml:space="preserve">κ </w:t>
                  </w:r>
                  <w:r w:rsidR="00473428" w:rsidRPr="009B61E5">
                    <w:rPr>
                      <w:rFonts w:eastAsia="Arial"/>
                      <w:color w:val="auto"/>
                      <w:sz w:val="22"/>
                      <w:szCs w:val="22"/>
                    </w:rPr>
                    <w:t>από</w:t>
                  </w:r>
                  <w:r w:rsidR="00473428" w:rsidRPr="00640025">
                    <w:rPr>
                      <w:rFonts w:eastAsia="Arial"/>
                      <w:color w:val="auto"/>
                      <w:sz w:val="22"/>
                      <w:szCs w:val="22"/>
                    </w:rPr>
                    <w:t xml:space="preserve"> τ</w:t>
                  </w:r>
                  <w:r w:rsidR="00F02292" w:rsidRPr="00640025">
                    <w:rPr>
                      <w:rFonts w:eastAsia="Arial"/>
                      <w:color w:val="auto"/>
                      <w:sz w:val="22"/>
                      <w:szCs w:val="22"/>
                    </w:rPr>
                    <w:t>ο</w:t>
                  </w:r>
                  <w:r w:rsidR="00473428" w:rsidRPr="00640025">
                    <w:rPr>
                      <w:rFonts w:eastAsia="Arial"/>
                      <w:color w:val="auto"/>
                      <w:sz w:val="22"/>
                      <w:szCs w:val="22"/>
                    </w:rPr>
                    <w:t xml:space="preserve"> αρχικ</w:t>
                  </w:r>
                  <w:r w:rsidR="00ED28DE" w:rsidRPr="00640025">
                    <w:rPr>
                      <w:rFonts w:eastAsia="Arial"/>
                      <w:color w:val="auto"/>
                      <w:sz w:val="22"/>
                      <w:szCs w:val="22"/>
                    </w:rPr>
                    <w:t xml:space="preserve">ό τίμημα </w:t>
                  </w:r>
                  <w:r w:rsidR="00473428" w:rsidRPr="00640025">
                    <w:rPr>
                      <w:rFonts w:eastAsia="Arial"/>
                      <w:color w:val="auto"/>
                      <w:sz w:val="22"/>
                      <w:szCs w:val="22"/>
                    </w:rPr>
                    <w:t xml:space="preserve">των </w:t>
                  </w:r>
                  <w:r w:rsidR="004A76E6" w:rsidRPr="00640025">
                    <w:rPr>
                      <w:rFonts w:eastAsia="Arial"/>
                      <w:color w:val="auto"/>
                      <w:sz w:val="22"/>
                      <w:szCs w:val="22"/>
                    </w:rPr>
                    <w:t>€180εκ.</w:t>
                  </w:r>
                  <w:r w:rsidR="00ED28DE" w:rsidRPr="00640025">
                    <w:rPr>
                      <w:rFonts w:eastAsia="Arial"/>
                      <w:color w:val="auto"/>
                      <w:sz w:val="22"/>
                      <w:szCs w:val="22"/>
                    </w:rPr>
                    <w:t xml:space="preserve"> </w:t>
                  </w:r>
                  <w:r w:rsidR="009B61E5">
                    <w:rPr>
                      <w:rFonts w:eastAsia="Arial"/>
                      <w:color w:val="auto"/>
                      <w:sz w:val="22"/>
                      <w:szCs w:val="22"/>
                    </w:rPr>
                    <w:t>οφείλεται στις πολύ καλές ταμειακές εισροές του χαρτοφυλακίου μετά την ημερομηνία αναφοράς</w:t>
                  </w:r>
                  <w:r w:rsidR="005137FD" w:rsidRPr="00640025">
                    <w:rPr>
                      <w:rFonts w:eastAsia="Arial"/>
                      <w:color w:val="auto"/>
                      <w:sz w:val="22"/>
                      <w:szCs w:val="22"/>
                    </w:rPr>
                    <w:t xml:space="preserve"> των Συμφωνιών (30 Σεπτεμβρίου 2024) </w:t>
                  </w:r>
                  <w:r w:rsidR="009B61E5">
                    <w:rPr>
                      <w:rFonts w:eastAsia="Arial"/>
                      <w:color w:val="auto"/>
                      <w:sz w:val="22"/>
                      <w:szCs w:val="22"/>
                    </w:rPr>
                    <w:t xml:space="preserve">οι οποίες αποδίδονται </w:t>
                  </w:r>
                  <w:r w:rsidR="00DB006F" w:rsidRPr="00640025">
                    <w:rPr>
                      <w:rFonts w:eastAsia="Arial"/>
                      <w:color w:val="auto"/>
                      <w:sz w:val="22"/>
                      <w:szCs w:val="22"/>
                    </w:rPr>
                    <w:t>στην ΚΕΔΙΠΕΣ</w:t>
                  </w:r>
                  <w:r w:rsidR="004A76E6" w:rsidRPr="00640025">
                    <w:rPr>
                      <w:rFonts w:eastAsia="Arial"/>
                      <w:color w:val="auto"/>
                      <w:sz w:val="22"/>
                      <w:szCs w:val="22"/>
                    </w:rPr>
                    <w:t xml:space="preserve">. </w:t>
                  </w:r>
                  <w:r w:rsidR="005137FD" w:rsidRPr="00640025">
                    <w:rPr>
                      <w:rFonts w:eastAsia="Arial"/>
                      <w:color w:val="auto"/>
                      <w:sz w:val="22"/>
                      <w:szCs w:val="22"/>
                    </w:rPr>
                    <w:t xml:space="preserve">Το χαρτοφυλάκιο </w:t>
                  </w:r>
                  <w:r w:rsidR="00FC29F5" w:rsidRPr="00640025">
                    <w:rPr>
                      <w:rFonts w:eastAsia="Arial"/>
                      <w:color w:val="auto"/>
                      <w:sz w:val="22"/>
                      <w:szCs w:val="22"/>
                    </w:rPr>
                    <w:t>τελούσε</w:t>
                  </w:r>
                  <w:r w:rsidR="00D23C34" w:rsidRPr="00640025">
                    <w:rPr>
                      <w:rFonts w:eastAsia="Arial"/>
                      <w:color w:val="auto"/>
                      <w:sz w:val="22"/>
                      <w:szCs w:val="22"/>
                    </w:rPr>
                    <w:t xml:space="preserve"> υπό την διαχείριση της </w:t>
                  </w:r>
                  <w:r w:rsidR="00640025" w:rsidRPr="00640025">
                    <w:rPr>
                      <w:rFonts w:eastAsia="Arial"/>
                      <w:color w:val="auto"/>
                      <w:sz w:val="22"/>
                      <w:szCs w:val="22"/>
                    </w:rPr>
                    <w:t xml:space="preserve">Themis Portfolio Management </w:t>
                  </w:r>
                  <w:proofErr w:type="spellStart"/>
                  <w:r w:rsidR="00640025" w:rsidRPr="00640025">
                    <w:rPr>
                      <w:rFonts w:eastAsia="Arial"/>
                      <w:color w:val="auto"/>
                      <w:sz w:val="22"/>
                      <w:szCs w:val="22"/>
                    </w:rPr>
                    <w:t>Limited</w:t>
                  </w:r>
                  <w:proofErr w:type="spellEnd"/>
                  <w:r w:rsidR="00640025" w:rsidRPr="00640025">
                    <w:rPr>
                      <w:rFonts w:eastAsia="Arial"/>
                      <w:color w:val="auto"/>
                      <w:sz w:val="22"/>
                      <w:szCs w:val="22"/>
                    </w:rPr>
                    <w:t xml:space="preserve"> και στις 30 Ιανουαρίου 2026 υπεγράφη νέα συμφωνία διαχείρισης, η οποία έχει διάρκεια μέχρι </w:t>
                  </w:r>
                  <w:r w:rsidR="00443CB2">
                    <w:rPr>
                      <w:rFonts w:eastAsia="Arial"/>
                      <w:color w:val="auto"/>
                      <w:sz w:val="22"/>
                      <w:szCs w:val="22"/>
                    </w:rPr>
                    <w:t xml:space="preserve">τις </w:t>
                  </w:r>
                  <w:r w:rsidR="00640025" w:rsidRPr="00640025">
                    <w:rPr>
                      <w:rFonts w:eastAsia="Arial"/>
                      <w:color w:val="auto"/>
                      <w:sz w:val="22"/>
                      <w:szCs w:val="22"/>
                    </w:rPr>
                    <w:t xml:space="preserve">31 Δεκεμβρίου 2030 και διέπεται από τους ίδιους βασικούς όρους που ισχύουν στην υφιστάμενη συμφωνία της Themis με την </w:t>
                  </w:r>
                  <w:proofErr w:type="spellStart"/>
                  <w:r w:rsidR="00640025" w:rsidRPr="00640025">
                    <w:rPr>
                      <w:rFonts w:eastAsia="Arial"/>
                      <w:color w:val="auto"/>
                      <w:sz w:val="22"/>
                      <w:szCs w:val="22"/>
                    </w:rPr>
                    <w:t>Eurobank</w:t>
                  </w:r>
                  <w:proofErr w:type="spellEnd"/>
                  <w:r w:rsidR="00640025" w:rsidRPr="00640025">
                    <w:rPr>
                      <w:rFonts w:eastAsia="Arial"/>
                      <w:color w:val="auto"/>
                      <w:sz w:val="22"/>
                      <w:szCs w:val="22"/>
                    </w:rPr>
                    <w:t xml:space="preserve"> </w:t>
                  </w:r>
                  <w:r w:rsidR="009B61E5">
                    <w:rPr>
                      <w:rFonts w:eastAsia="Arial"/>
                      <w:color w:val="auto"/>
                      <w:sz w:val="22"/>
                      <w:szCs w:val="22"/>
                      <w:lang w:val="en-GB"/>
                    </w:rPr>
                    <w:t>Limited</w:t>
                  </w:r>
                  <w:r w:rsidR="00CF6BDC" w:rsidRPr="00640025">
                    <w:rPr>
                      <w:rFonts w:eastAsia="Arial"/>
                      <w:color w:val="auto"/>
                      <w:sz w:val="22"/>
                      <w:szCs w:val="22"/>
                    </w:rPr>
                    <w:t>.</w:t>
                  </w:r>
                  <w:r w:rsidR="008E527F" w:rsidRPr="00640025">
                    <w:rPr>
                      <w:rFonts w:eastAsia="Arial"/>
                      <w:color w:val="auto"/>
                      <w:sz w:val="22"/>
                      <w:szCs w:val="22"/>
                    </w:rPr>
                    <w:t xml:space="preserve"> Βάσει του </w:t>
                  </w:r>
                  <w:r w:rsidR="00A90D4C" w:rsidRPr="00640025">
                    <w:rPr>
                      <w:rFonts w:eastAsia="Arial"/>
                      <w:color w:val="auto"/>
                      <w:sz w:val="22"/>
                      <w:szCs w:val="22"/>
                    </w:rPr>
                    <w:t>συμφωνημένου</w:t>
                  </w:r>
                  <w:r w:rsidR="008E527F" w:rsidRPr="00640025">
                    <w:rPr>
                      <w:rFonts w:eastAsia="Arial"/>
                      <w:color w:val="auto"/>
                      <w:sz w:val="22"/>
                      <w:szCs w:val="22"/>
                    </w:rPr>
                    <w:t xml:space="preserve"> </w:t>
                  </w:r>
                  <w:r w:rsidR="00A90D4C" w:rsidRPr="00640025">
                    <w:rPr>
                      <w:rFonts w:eastAsia="Arial"/>
                      <w:color w:val="auto"/>
                      <w:sz w:val="22"/>
                      <w:szCs w:val="22"/>
                    </w:rPr>
                    <w:t>Πλάνου</w:t>
                  </w:r>
                  <w:r w:rsidR="008E527F" w:rsidRPr="00640025">
                    <w:rPr>
                      <w:rFonts w:eastAsia="Arial"/>
                      <w:color w:val="auto"/>
                      <w:sz w:val="22"/>
                      <w:szCs w:val="22"/>
                    </w:rPr>
                    <w:t xml:space="preserve"> </w:t>
                  </w:r>
                  <w:r w:rsidR="00640025" w:rsidRPr="00640025">
                    <w:rPr>
                      <w:rFonts w:eastAsia="Arial"/>
                      <w:color w:val="auto"/>
                      <w:sz w:val="22"/>
                      <w:szCs w:val="22"/>
                    </w:rPr>
                    <w:t xml:space="preserve">και των μέχρι σήμερα θετικών αποτελεσμάτων </w:t>
                  </w:r>
                  <w:r w:rsidR="008E527F" w:rsidRPr="00640025">
                    <w:rPr>
                      <w:rFonts w:eastAsia="Arial"/>
                      <w:color w:val="auto"/>
                      <w:sz w:val="22"/>
                      <w:szCs w:val="22"/>
                    </w:rPr>
                    <w:t xml:space="preserve">οι </w:t>
                  </w:r>
                  <w:r w:rsidR="00A90D4C" w:rsidRPr="00640025">
                    <w:rPr>
                      <w:rFonts w:eastAsia="Arial"/>
                      <w:color w:val="auto"/>
                      <w:sz w:val="22"/>
                      <w:szCs w:val="22"/>
                    </w:rPr>
                    <w:t xml:space="preserve">ταμειακές </w:t>
                  </w:r>
                  <w:r w:rsidR="008E527F" w:rsidRPr="00640025">
                    <w:rPr>
                      <w:rFonts w:eastAsia="Arial"/>
                      <w:color w:val="auto"/>
                      <w:sz w:val="22"/>
                      <w:szCs w:val="22"/>
                    </w:rPr>
                    <w:t xml:space="preserve">ανακτήσεις </w:t>
                  </w:r>
                  <w:r w:rsidR="00A90D4C" w:rsidRPr="00640025">
                    <w:rPr>
                      <w:rFonts w:eastAsia="Arial"/>
                      <w:color w:val="auto"/>
                      <w:sz w:val="22"/>
                      <w:szCs w:val="22"/>
                    </w:rPr>
                    <w:t>αναμένεται να καλύψουν το τίμημα αγοράς του χαρτοφυλακίου.</w:t>
                  </w:r>
                </w:p>
                <w:p w14:paraId="1062A187" w14:textId="77777777" w:rsidR="00640025" w:rsidRPr="00640025" w:rsidRDefault="00640025" w:rsidP="00547AA2">
                  <w:pPr>
                    <w:pStyle w:val="Default"/>
                    <w:framePr w:hSpace="180" w:wrap="around" w:vAnchor="text" w:hAnchor="margin" w:x="-293" w:y="30"/>
                    <w:adjustRightInd/>
                    <w:contextualSpacing/>
                    <w:jc w:val="both"/>
                    <w:rPr>
                      <w:rFonts w:eastAsia="Arial"/>
                      <w:color w:val="auto"/>
                      <w:sz w:val="22"/>
                      <w:szCs w:val="22"/>
                    </w:rPr>
                  </w:pPr>
                </w:p>
                <w:p w14:paraId="79C1EE44" w14:textId="448F514B" w:rsidR="009E2FAE" w:rsidRPr="00640025" w:rsidRDefault="009E2FAE" w:rsidP="00547AA2">
                  <w:pPr>
                    <w:pStyle w:val="Default"/>
                    <w:framePr w:hSpace="180" w:wrap="around" w:vAnchor="text" w:hAnchor="margin" w:x="-293" w:y="30"/>
                    <w:tabs>
                      <w:tab w:val="left" w:pos="2410"/>
                    </w:tabs>
                    <w:contextualSpacing/>
                    <w:jc w:val="both"/>
                    <w:rPr>
                      <w:sz w:val="22"/>
                      <w:szCs w:val="22"/>
                    </w:rPr>
                  </w:pPr>
                  <w:r w:rsidRPr="00640025">
                    <w:rPr>
                      <w:rFonts w:eastAsia="Arial"/>
                      <w:color w:val="auto"/>
                      <w:sz w:val="22"/>
                      <w:szCs w:val="22"/>
                    </w:rPr>
                    <w:t xml:space="preserve">Σχετικά με τις εξελίξεις του Σχεδίου </w:t>
                  </w:r>
                  <w:r w:rsidR="007F28C6" w:rsidRPr="00640025">
                    <w:rPr>
                      <w:rFonts w:eastAsia="Arial"/>
                      <w:color w:val="auto"/>
                      <w:sz w:val="22"/>
                      <w:szCs w:val="22"/>
                    </w:rPr>
                    <w:t>‘</w:t>
                  </w:r>
                  <w:r w:rsidRPr="00640025">
                    <w:rPr>
                      <w:rFonts w:eastAsia="Arial"/>
                      <w:color w:val="auto"/>
                      <w:sz w:val="22"/>
                      <w:szCs w:val="22"/>
                    </w:rPr>
                    <w:t>Ενοίκιο Έναντι Δόσης’</w:t>
                  </w:r>
                  <w:r w:rsidR="00A123F8" w:rsidRPr="00640025">
                    <w:rPr>
                      <w:rFonts w:eastAsia="Arial"/>
                      <w:color w:val="auto"/>
                      <w:sz w:val="22"/>
                      <w:szCs w:val="22"/>
                    </w:rPr>
                    <w:t>,</w:t>
                  </w:r>
                  <w:r w:rsidRPr="00640025">
                    <w:rPr>
                      <w:rFonts w:eastAsia="Arial"/>
                      <w:color w:val="auto"/>
                      <w:sz w:val="22"/>
                      <w:szCs w:val="22"/>
                    </w:rPr>
                    <w:t xml:space="preserve"> </w:t>
                  </w:r>
                  <w:r w:rsidRPr="00640025">
                    <w:rPr>
                      <w:color w:val="auto"/>
                      <w:sz w:val="22"/>
                      <w:szCs w:val="22"/>
                    </w:rPr>
                    <w:t xml:space="preserve">έχουν εγκριθεί </w:t>
                  </w:r>
                  <w:r w:rsidR="00B96695" w:rsidRPr="00640025">
                    <w:rPr>
                      <w:color w:val="auto"/>
                      <w:sz w:val="22"/>
                      <w:szCs w:val="22"/>
                    </w:rPr>
                    <w:t>μέχρι σήμερα</w:t>
                  </w:r>
                  <w:r w:rsidR="00B96695" w:rsidRPr="00C2168B">
                    <w:rPr>
                      <w:color w:val="auto"/>
                      <w:sz w:val="22"/>
                      <w:szCs w:val="22"/>
                    </w:rPr>
                    <w:t xml:space="preserve"> </w:t>
                  </w:r>
                  <w:r w:rsidR="00C2168B" w:rsidRPr="00CB0CCC">
                    <w:rPr>
                      <w:color w:val="auto"/>
                      <w:sz w:val="22"/>
                      <w:szCs w:val="22"/>
                    </w:rPr>
                    <w:t>921</w:t>
                  </w:r>
                  <w:r w:rsidRPr="00C2168B">
                    <w:rPr>
                      <w:color w:val="auto"/>
                      <w:sz w:val="22"/>
                      <w:szCs w:val="22"/>
                    </w:rPr>
                    <w:t xml:space="preserve"> </w:t>
                  </w:r>
                  <w:r w:rsidRPr="00640025">
                    <w:rPr>
                      <w:color w:val="auto"/>
                      <w:sz w:val="22"/>
                      <w:szCs w:val="22"/>
                    </w:rPr>
                    <w:t>αιτήσεις ενώ</w:t>
                  </w:r>
                  <w:r w:rsidRPr="00640025">
                    <w:rPr>
                      <w:color w:val="auto"/>
                      <w:sz w:val="22"/>
                      <w:szCs w:val="22"/>
                      <w:lang w:val="en-US"/>
                    </w:rPr>
                    <w:t> </w:t>
                  </w:r>
                  <w:r w:rsidR="009F2B25" w:rsidRPr="00C2168B">
                    <w:rPr>
                      <w:color w:val="auto"/>
                      <w:sz w:val="22"/>
                      <w:szCs w:val="22"/>
                    </w:rPr>
                    <w:t>4</w:t>
                  </w:r>
                  <w:r w:rsidR="00C2168B" w:rsidRPr="00CB0CCC">
                    <w:rPr>
                      <w:color w:val="auto"/>
                      <w:sz w:val="22"/>
                      <w:szCs w:val="22"/>
                    </w:rPr>
                    <w:t>71</w:t>
                  </w:r>
                  <w:r w:rsidRPr="00CB0CCC">
                    <w:rPr>
                      <w:color w:val="EE0000"/>
                      <w:sz w:val="22"/>
                      <w:szCs w:val="22"/>
                    </w:rPr>
                    <w:t xml:space="preserve"> </w:t>
                  </w:r>
                  <w:r w:rsidRPr="00640025">
                    <w:rPr>
                      <w:sz w:val="22"/>
                      <w:szCs w:val="22"/>
                    </w:rPr>
                    <w:t>κατοικίες έχουν ήδη αποκτηθεί</w:t>
                  </w:r>
                  <w:r w:rsidR="00E84D78" w:rsidRPr="00640025">
                    <w:rPr>
                      <w:sz w:val="22"/>
                      <w:szCs w:val="22"/>
                    </w:rPr>
                    <w:t xml:space="preserve">. </w:t>
                  </w:r>
                  <w:r w:rsidRPr="00640025">
                    <w:rPr>
                      <w:sz w:val="22"/>
                      <w:szCs w:val="22"/>
                    </w:rPr>
                    <w:t xml:space="preserve">Το Σχέδιο παραμένει εντός του αναθεωρημένου πλάνου για έγκριση 1600 αιτήσεων, αριθμός </w:t>
                  </w:r>
                  <w:r w:rsidR="006873BA" w:rsidRPr="00640025">
                    <w:rPr>
                      <w:sz w:val="22"/>
                      <w:szCs w:val="22"/>
                    </w:rPr>
                    <w:t xml:space="preserve">διπλάσιος </w:t>
                  </w:r>
                  <w:r w:rsidRPr="00640025">
                    <w:rPr>
                      <w:sz w:val="22"/>
                      <w:szCs w:val="22"/>
                    </w:rPr>
                    <w:t>από τ</w:t>
                  </w:r>
                  <w:r w:rsidR="00E0666D" w:rsidRPr="00640025">
                    <w:rPr>
                      <w:sz w:val="22"/>
                      <w:szCs w:val="22"/>
                    </w:rPr>
                    <w:t xml:space="preserve">ην αρχική εκτίμηση </w:t>
                  </w:r>
                  <w:r w:rsidRPr="00640025">
                    <w:rPr>
                      <w:sz w:val="22"/>
                      <w:szCs w:val="22"/>
                    </w:rPr>
                    <w:t xml:space="preserve"> </w:t>
                  </w:r>
                  <w:r w:rsidR="000756CD" w:rsidRPr="00640025">
                    <w:rPr>
                      <w:sz w:val="22"/>
                      <w:szCs w:val="22"/>
                    </w:rPr>
                    <w:t>των</w:t>
                  </w:r>
                  <w:r w:rsidRPr="00640025">
                    <w:rPr>
                      <w:sz w:val="22"/>
                      <w:szCs w:val="22"/>
                    </w:rPr>
                    <w:t xml:space="preserve"> 800</w:t>
                  </w:r>
                  <w:r w:rsidR="0003791B" w:rsidRPr="00640025">
                    <w:rPr>
                      <w:sz w:val="22"/>
                      <w:szCs w:val="22"/>
                    </w:rPr>
                    <w:t xml:space="preserve"> εγκρίσεων</w:t>
                  </w:r>
                  <w:r w:rsidRPr="00640025">
                    <w:rPr>
                      <w:sz w:val="22"/>
                      <w:szCs w:val="22"/>
                    </w:rPr>
                    <w:t xml:space="preserve">. </w:t>
                  </w:r>
                </w:p>
                <w:p w14:paraId="0F3964D2" w14:textId="201EC95E" w:rsidR="00560D9E" w:rsidRDefault="00560D9E" w:rsidP="00547AA2">
                  <w:pPr>
                    <w:pStyle w:val="Default"/>
                    <w:framePr w:hSpace="180" w:wrap="around" w:vAnchor="text" w:hAnchor="margin" w:x="-293" w:y="30"/>
                    <w:contextualSpacing/>
                    <w:jc w:val="both"/>
                    <w:rPr>
                      <w:rFonts w:eastAsia="Arial"/>
                      <w:color w:val="auto"/>
                      <w:sz w:val="22"/>
                      <w:szCs w:val="22"/>
                    </w:rPr>
                  </w:pPr>
                </w:p>
              </w:tc>
            </w:tr>
          </w:tbl>
          <w:p w14:paraId="3BD17795" w14:textId="67FC77D6" w:rsidR="00C850F4" w:rsidRPr="007D79C4" w:rsidRDefault="00C850F4" w:rsidP="007D79C4">
            <w:pPr>
              <w:rPr>
                <w:lang w:val="el-GR"/>
              </w:rPr>
            </w:pPr>
          </w:p>
        </w:tc>
      </w:tr>
    </w:tbl>
    <w:p w14:paraId="1F6BCA03" w14:textId="77777777" w:rsidR="008F4D3E" w:rsidRDefault="008F4D3E" w:rsidP="008F4D3E">
      <w:pPr>
        <w:pStyle w:val="Default"/>
        <w:rPr>
          <w:color w:val="auto"/>
          <w:sz w:val="22"/>
          <w:szCs w:val="22"/>
        </w:rPr>
      </w:pPr>
    </w:p>
    <w:p w14:paraId="220A5803" w14:textId="77777777" w:rsidR="0002046A" w:rsidRPr="00E84D78" w:rsidRDefault="0002046A" w:rsidP="00C56475">
      <w:pPr>
        <w:spacing w:after="0"/>
        <w:ind w:left="1440"/>
        <w:jc w:val="both"/>
        <w:rPr>
          <w:rFonts w:ascii="Arial" w:hAnsi="Arial" w:cs="Arial"/>
          <w:b/>
          <w:bCs/>
          <w:sz w:val="26"/>
          <w:szCs w:val="26"/>
          <w:u w:val="single"/>
          <w:lang w:val="el-GR"/>
        </w:rPr>
      </w:pPr>
    </w:p>
    <w:p w14:paraId="552C5206" w14:textId="742D16A0" w:rsidR="00B91C58" w:rsidRPr="00C56475" w:rsidRDefault="00B91C58" w:rsidP="00C56475">
      <w:pPr>
        <w:spacing w:after="0"/>
        <w:ind w:left="1440"/>
        <w:jc w:val="both"/>
        <w:rPr>
          <w:rFonts w:ascii="Arial" w:hAnsi="Arial" w:cs="Arial"/>
          <w:b/>
          <w:bCs/>
          <w:sz w:val="26"/>
          <w:szCs w:val="26"/>
          <w:u w:val="single"/>
          <w:lang w:val="el-GR"/>
        </w:rPr>
      </w:pPr>
      <w:r w:rsidRPr="00C56475">
        <w:rPr>
          <w:rFonts w:ascii="Arial" w:hAnsi="Arial" w:cs="Arial"/>
          <w:b/>
          <w:bCs/>
          <w:sz w:val="26"/>
          <w:szCs w:val="26"/>
          <w:u w:val="single"/>
          <w:lang w:val="el-GR"/>
        </w:rPr>
        <w:t xml:space="preserve">Χρηματοοικονομικές Εξελίξεις </w:t>
      </w:r>
      <w:r w:rsidR="001805AB">
        <w:rPr>
          <w:rFonts w:ascii="Arial" w:hAnsi="Arial" w:cs="Arial"/>
          <w:b/>
          <w:bCs/>
          <w:sz w:val="26"/>
          <w:szCs w:val="26"/>
          <w:u w:val="single"/>
        </w:rPr>
        <w:t>B</w:t>
      </w:r>
      <w:r w:rsidRPr="00C56475">
        <w:rPr>
          <w:rFonts w:ascii="Arial" w:hAnsi="Arial" w:cs="Arial"/>
          <w:b/>
          <w:bCs/>
          <w:sz w:val="26"/>
          <w:szCs w:val="26"/>
          <w:u w:val="single"/>
          <w:lang w:val="el-GR"/>
        </w:rPr>
        <w:t>’ Εξαμήνου 2025</w:t>
      </w:r>
    </w:p>
    <w:p w14:paraId="39FDD666" w14:textId="77777777" w:rsidR="00B91C58" w:rsidRDefault="00B91C58" w:rsidP="00B736C7">
      <w:pPr>
        <w:pStyle w:val="Default"/>
        <w:jc w:val="center"/>
        <w:rPr>
          <w:color w:val="auto"/>
          <w:sz w:val="22"/>
          <w:szCs w:val="22"/>
        </w:rPr>
      </w:pPr>
    </w:p>
    <w:p w14:paraId="4676C33A" w14:textId="77777777" w:rsidR="00B91C58" w:rsidRPr="007C5037" w:rsidRDefault="00B91C58" w:rsidP="00B736C7">
      <w:pPr>
        <w:pStyle w:val="Default"/>
        <w:jc w:val="center"/>
        <w:rPr>
          <w:color w:val="auto"/>
          <w:sz w:val="22"/>
          <w:szCs w:val="22"/>
        </w:rPr>
      </w:pPr>
    </w:p>
    <w:p w14:paraId="3773E32E" w14:textId="372854FF" w:rsidR="002138B7" w:rsidRPr="00572D3B" w:rsidRDefault="00AA7E2C" w:rsidP="00640025">
      <w:pPr>
        <w:pStyle w:val="Default"/>
        <w:numPr>
          <w:ilvl w:val="0"/>
          <w:numId w:val="31"/>
        </w:numPr>
        <w:ind w:left="0" w:hanging="284"/>
        <w:contextualSpacing/>
        <w:jc w:val="both"/>
        <w:rPr>
          <w:rFonts w:eastAsia="Arial"/>
          <w:color w:val="auto"/>
          <w:sz w:val="22"/>
          <w:szCs w:val="22"/>
        </w:rPr>
      </w:pPr>
      <w:r w:rsidRPr="00572D3B">
        <w:rPr>
          <w:rFonts w:eastAsia="Arial"/>
          <w:color w:val="auto"/>
          <w:sz w:val="22"/>
          <w:szCs w:val="22"/>
        </w:rPr>
        <w:t xml:space="preserve">Οι </w:t>
      </w:r>
      <w:r w:rsidR="00304970" w:rsidRPr="00572D3B">
        <w:rPr>
          <w:rFonts w:eastAsia="Arial"/>
          <w:color w:val="auto"/>
          <w:sz w:val="22"/>
          <w:szCs w:val="22"/>
        </w:rPr>
        <w:t xml:space="preserve">τακτικές </w:t>
      </w:r>
      <w:r w:rsidRPr="00572D3B">
        <w:rPr>
          <w:rFonts w:eastAsia="Arial"/>
          <w:color w:val="auto"/>
          <w:sz w:val="22"/>
          <w:szCs w:val="22"/>
        </w:rPr>
        <w:t xml:space="preserve">ταμειακές εισροές του </w:t>
      </w:r>
      <w:r w:rsidR="002138B7" w:rsidRPr="00572D3B">
        <w:rPr>
          <w:rFonts w:eastAsia="Arial"/>
          <w:color w:val="auto"/>
          <w:sz w:val="22"/>
          <w:szCs w:val="22"/>
        </w:rPr>
        <w:t>Β</w:t>
      </w:r>
      <w:r w:rsidR="00BF2A1D" w:rsidRPr="00572D3B">
        <w:rPr>
          <w:rFonts w:eastAsia="Arial"/>
          <w:color w:val="auto"/>
          <w:sz w:val="22"/>
          <w:szCs w:val="22"/>
        </w:rPr>
        <w:t>’ Εξαμήνου</w:t>
      </w:r>
      <w:r w:rsidR="003206B3" w:rsidRPr="00572D3B">
        <w:rPr>
          <w:rFonts w:eastAsia="Arial"/>
          <w:color w:val="auto"/>
          <w:sz w:val="22"/>
          <w:szCs w:val="22"/>
        </w:rPr>
        <w:t xml:space="preserve"> </w:t>
      </w:r>
      <w:r w:rsidRPr="00572D3B">
        <w:rPr>
          <w:rFonts w:eastAsia="Arial"/>
          <w:color w:val="auto"/>
          <w:sz w:val="22"/>
          <w:szCs w:val="22"/>
        </w:rPr>
        <w:t>202</w:t>
      </w:r>
      <w:r w:rsidR="006F43FC" w:rsidRPr="00572D3B">
        <w:rPr>
          <w:rFonts w:eastAsia="Arial"/>
          <w:color w:val="auto"/>
          <w:sz w:val="22"/>
          <w:szCs w:val="22"/>
        </w:rPr>
        <w:t>5</w:t>
      </w:r>
      <w:r w:rsidRPr="00572D3B">
        <w:rPr>
          <w:rFonts w:eastAsia="Arial"/>
          <w:color w:val="auto"/>
          <w:sz w:val="22"/>
          <w:szCs w:val="22"/>
        </w:rPr>
        <w:t xml:space="preserve"> ανήλθαν στα €</w:t>
      </w:r>
      <w:r w:rsidR="002138B7" w:rsidRPr="00572D3B">
        <w:rPr>
          <w:rFonts w:eastAsia="Arial"/>
          <w:color w:val="auto"/>
          <w:sz w:val="22"/>
          <w:szCs w:val="22"/>
        </w:rPr>
        <w:t>209</w:t>
      </w:r>
      <w:r w:rsidR="00BF2A1D" w:rsidRPr="00572D3B">
        <w:rPr>
          <w:rFonts w:eastAsia="Arial"/>
          <w:color w:val="auto"/>
          <w:sz w:val="22"/>
          <w:szCs w:val="22"/>
        </w:rPr>
        <w:t>,</w:t>
      </w:r>
      <w:r w:rsidR="002138B7" w:rsidRPr="00572D3B">
        <w:rPr>
          <w:rFonts w:eastAsia="Arial"/>
          <w:color w:val="auto"/>
          <w:sz w:val="22"/>
          <w:szCs w:val="22"/>
        </w:rPr>
        <w:t>0</w:t>
      </w:r>
      <w:r w:rsidRPr="00572D3B">
        <w:rPr>
          <w:rFonts w:eastAsia="Arial"/>
          <w:color w:val="auto"/>
          <w:sz w:val="22"/>
          <w:szCs w:val="22"/>
        </w:rPr>
        <w:t xml:space="preserve">εκ. παρουσιάζοντας </w:t>
      </w:r>
      <w:r w:rsidR="00572D3B">
        <w:rPr>
          <w:rFonts w:eastAsia="Arial"/>
          <w:color w:val="auto"/>
          <w:sz w:val="22"/>
          <w:szCs w:val="22"/>
        </w:rPr>
        <w:t>αύξηση</w:t>
      </w:r>
      <w:r w:rsidR="0096214D" w:rsidRPr="00572D3B">
        <w:rPr>
          <w:rFonts w:eastAsia="Arial"/>
          <w:color w:val="auto"/>
          <w:sz w:val="22"/>
          <w:szCs w:val="22"/>
        </w:rPr>
        <w:t xml:space="preserve"> </w:t>
      </w:r>
      <w:r w:rsidR="00BF2A1D" w:rsidRPr="00572D3B">
        <w:rPr>
          <w:rFonts w:eastAsia="Arial"/>
          <w:color w:val="auto"/>
          <w:sz w:val="22"/>
          <w:szCs w:val="22"/>
        </w:rPr>
        <w:t>2</w:t>
      </w:r>
      <w:r w:rsidRPr="00572D3B">
        <w:rPr>
          <w:rFonts w:eastAsia="Arial"/>
          <w:color w:val="auto"/>
          <w:sz w:val="22"/>
          <w:szCs w:val="22"/>
        </w:rPr>
        <w:t>,</w:t>
      </w:r>
      <w:r w:rsidR="00572D3B">
        <w:rPr>
          <w:rFonts w:eastAsia="Arial"/>
          <w:color w:val="auto"/>
          <w:sz w:val="22"/>
          <w:szCs w:val="22"/>
        </w:rPr>
        <w:t>1</w:t>
      </w:r>
      <w:r w:rsidRPr="00572D3B">
        <w:rPr>
          <w:rFonts w:eastAsia="Arial"/>
          <w:color w:val="auto"/>
          <w:sz w:val="22"/>
          <w:szCs w:val="22"/>
        </w:rPr>
        <w:t>% έναντι €</w:t>
      </w:r>
      <w:r w:rsidR="00BF2A1D" w:rsidRPr="00572D3B">
        <w:rPr>
          <w:rFonts w:eastAsia="Arial"/>
          <w:color w:val="auto"/>
          <w:sz w:val="22"/>
          <w:szCs w:val="22"/>
        </w:rPr>
        <w:t>20</w:t>
      </w:r>
      <w:r w:rsidR="002138B7" w:rsidRPr="00572D3B">
        <w:rPr>
          <w:rFonts w:eastAsia="Arial"/>
          <w:color w:val="auto"/>
          <w:sz w:val="22"/>
          <w:szCs w:val="22"/>
        </w:rPr>
        <w:t>4</w:t>
      </w:r>
      <w:r w:rsidR="00BF2A1D" w:rsidRPr="00572D3B">
        <w:rPr>
          <w:rFonts w:eastAsia="Arial"/>
          <w:color w:val="auto"/>
          <w:sz w:val="22"/>
          <w:szCs w:val="22"/>
        </w:rPr>
        <w:t>,</w:t>
      </w:r>
      <w:r w:rsidR="002138B7" w:rsidRPr="00572D3B">
        <w:rPr>
          <w:rFonts w:eastAsia="Arial"/>
          <w:color w:val="auto"/>
          <w:sz w:val="22"/>
          <w:szCs w:val="22"/>
        </w:rPr>
        <w:t>7</w:t>
      </w:r>
      <w:r w:rsidRPr="00572D3B">
        <w:rPr>
          <w:rFonts w:eastAsia="Arial"/>
          <w:color w:val="auto"/>
          <w:sz w:val="22"/>
          <w:szCs w:val="22"/>
        </w:rPr>
        <w:t xml:space="preserve">εκ. για το </w:t>
      </w:r>
      <w:r w:rsidR="002138B7" w:rsidRPr="00572D3B">
        <w:rPr>
          <w:rFonts w:eastAsia="Arial"/>
          <w:color w:val="auto"/>
          <w:sz w:val="22"/>
          <w:szCs w:val="22"/>
        </w:rPr>
        <w:t>Β</w:t>
      </w:r>
      <w:r w:rsidR="00605CC3" w:rsidRPr="00572D3B">
        <w:rPr>
          <w:rFonts w:eastAsia="Arial"/>
          <w:color w:val="auto"/>
          <w:sz w:val="22"/>
          <w:szCs w:val="22"/>
        </w:rPr>
        <w:t>’</w:t>
      </w:r>
      <w:r w:rsidRPr="00572D3B">
        <w:rPr>
          <w:rFonts w:eastAsia="Arial"/>
          <w:color w:val="auto"/>
          <w:sz w:val="22"/>
          <w:szCs w:val="22"/>
        </w:rPr>
        <w:t xml:space="preserve"> </w:t>
      </w:r>
      <w:r w:rsidR="00BF2A1D" w:rsidRPr="00572D3B">
        <w:rPr>
          <w:rFonts w:eastAsia="Arial"/>
          <w:color w:val="auto"/>
          <w:sz w:val="22"/>
          <w:szCs w:val="22"/>
        </w:rPr>
        <w:t>Εξάμηνο</w:t>
      </w:r>
      <w:r w:rsidRPr="00572D3B">
        <w:rPr>
          <w:rFonts w:eastAsia="Arial"/>
          <w:color w:val="auto"/>
          <w:sz w:val="22"/>
          <w:szCs w:val="22"/>
        </w:rPr>
        <w:t xml:space="preserve"> του 202</w:t>
      </w:r>
      <w:r w:rsidR="00BF2A1D" w:rsidRPr="00572D3B">
        <w:rPr>
          <w:rFonts w:eastAsia="Arial"/>
          <w:color w:val="auto"/>
          <w:sz w:val="22"/>
          <w:szCs w:val="22"/>
        </w:rPr>
        <w:t>4</w:t>
      </w:r>
      <w:r w:rsidR="004779E0">
        <w:rPr>
          <w:rFonts w:eastAsia="Arial"/>
          <w:color w:val="auto"/>
          <w:sz w:val="22"/>
          <w:szCs w:val="22"/>
        </w:rPr>
        <w:t>.</w:t>
      </w:r>
      <w:r w:rsidR="00304970" w:rsidRPr="00572D3B">
        <w:rPr>
          <w:rFonts w:eastAsia="Arial"/>
          <w:color w:val="auto"/>
          <w:sz w:val="22"/>
          <w:szCs w:val="22"/>
        </w:rPr>
        <w:t xml:space="preserve"> </w:t>
      </w:r>
    </w:p>
    <w:p w14:paraId="5BF7BBAD" w14:textId="77777777" w:rsidR="00572D3B" w:rsidRDefault="00572D3B" w:rsidP="00572D3B">
      <w:pPr>
        <w:pStyle w:val="Default"/>
        <w:contextualSpacing/>
        <w:jc w:val="both"/>
        <w:rPr>
          <w:rFonts w:eastAsia="Arial"/>
          <w:color w:val="auto"/>
          <w:sz w:val="22"/>
          <w:szCs w:val="22"/>
        </w:rPr>
      </w:pPr>
    </w:p>
    <w:p w14:paraId="7A3B7569" w14:textId="0E6EBAE4" w:rsidR="00B96695" w:rsidRDefault="002138B7">
      <w:pPr>
        <w:pStyle w:val="Default"/>
        <w:contextualSpacing/>
        <w:jc w:val="both"/>
        <w:rPr>
          <w:rFonts w:eastAsia="Arial"/>
          <w:color w:val="auto"/>
          <w:sz w:val="22"/>
          <w:szCs w:val="22"/>
        </w:rPr>
      </w:pPr>
      <w:r>
        <w:rPr>
          <w:rFonts w:eastAsia="Arial"/>
          <w:color w:val="auto"/>
          <w:sz w:val="22"/>
          <w:szCs w:val="22"/>
        </w:rPr>
        <w:t xml:space="preserve">Οι </w:t>
      </w:r>
      <w:r w:rsidR="00572D3B">
        <w:rPr>
          <w:rFonts w:eastAsia="Arial"/>
          <w:color w:val="auto"/>
          <w:sz w:val="22"/>
          <w:szCs w:val="22"/>
        </w:rPr>
        <w:t xml:space="preserve">τακτικές </w:t>
      </w:r>
      <w:r>
        <w:rPr>
          <w:rFonts w:eastAsia="Arial"/>
          <w:color w:val="auto"/>
          <w:sz w:val="22"/>
          <w:szCs w:val="22"/>
        </w:rPr>
        <w:t>ταμειακές εισροές για το 2025 ανήλθαν στα €370,5εκ. μειωμένες κατά</w:t>
      </w:r>
      <w:r w:rsidR="00572D3B">
        <w:rPr>
          <w:rFonts w:eastAsia="Arial"/>
          <w:color w:val="auto"/>
          <w:sz w:val="22"/>
          <w:szCs w:val="22"/>
        </w:rPr>
        <w:t xml:space="preserve"> 10,5%</w:t>
      </w:r>
      <w:r>
        <w:rPr>
          <w:rFonts w:eastAsia="Arial"/>
          <w:color w:val="auto"/>
          <w:sz w:val="22"/>
          <w:szCs w:val="22"/>
        </w:rPr>
        <w:t xml:space="preserve"> </w:t>
      </w:r>
      <w:r w:rsidR="00572D3B">
        <w:rPr>
          <w:rFonts w:eastAsia="Arial"/>
          <w:color w:val="auto"/>
          <w:sz w:val="22"/>
          <w:szCs w:val="22"/>
        </w:rPr>
        <w:t>έναντι</w:t>
      </w:r>
      <w:r>
        <w:rPr>
          <w:rFonts w:eastAsia="Arial"/>
          <w:color w:val="auto"/>
          <w:sz w:val="22"/>
          <w:szCs w:val="22"/>
        </w:rPr>
        <w:t xml:space="preserve"> €414,0εκ το 2024</w:t>
      </w:r>
      <w:r w:rsidR="00572D3B">
        <w:rPr>
          <w:rFonts w:eastAsia="Arial"/>
          <w:color w:val="auto"/>
          <w:sz w:val="22"/>
          <w:szCs w:val="22"/>
        </w:rPr>
        <w:t>, ενώ εξαιρουμένων εισπράξεων €17,7εκ. σε σχέση με κτήριο υψηλής αξίας του Α</w:t>
      </w:r>
      <w:r w:rsidR="00572D3B" w:rsidRPr="007C5037">
        <w:rPr>
          <w:rFonts w:eastAsia="Arial"/>
          <w:color w:val="auto"/>
          <w:sz w:val="22"/>
          <w:szCs w:val="22"/>
        </w:rPr>
        <w:t>’</w:t>
      </w:r>
      <w:r w:rsidR="00572D3B">
        <w:rPr>
          <w:rFonts w:eastAsia="Arial"/>
          <w:color w:val="auto"/>
          <w:sz w:val="22"/>
          <w:szCs w:val="22"/>
        </w:rPr>
        <w:t xml:space="preserve"> Εξάμηνου του 2024, η μείωση </w:t>
      </w:r>
      <w:r w:rsidR="00B96695">
        <w:rPr>
          <w:rFonts w:eastAsia="Arial"/>
          <w:color w:val="auto"/>
          <w:sz w:val="22"/>
          <w:szCs w:val="22"/>
        </w:rPr>
        <w:t xml:space="preserve">περιορίζεται στο </w:t>
      </w:r>
      <w:r w:rsidR="00572D3B">
        <w:rPr>
          <w:rFonts w:eastAsia="Arial"/>
          <w:color w:val="auto"/>
          <w:sz w:val="22"/>
          <w:szCs w:val="22"/>
        </w:rPr>
        <w:t>6,5%</w:t>
      </w:r>
      <w:r w:rsidR="00572D3B" w:rsidRPr="007C5037">
        <w:rPr>
          <w:rFonts w:eastAsia="Arial"/>
          <w:color w:val="auto"/>
          <w:sz w:val="22"/>
          <w:szCs w:val="22"/>
        </w:rPr>
        <w:t>.</w:t>
      </w:r>
      <w:r w:rsidR="00595E48">
        <w:rPr>
          <w:rFonts w:eastAsia="Arial"/>
          <w:color w:val="auto"/>
          <w:sz w:val="22"/>
          <w:szCs w:val="22"/>
        </w:rPr>
        <w:t xml:space="preserve">  </w:t>
      </w:r>
    </w:p>
    <w:p w14:paraId="22EC3382" w14:textId="77777777" w:rsidR="00B96695" w:rsidRDefault="00B96695">
      <w:pPr>
        <w:pStyle w:val="Default"/>
        <w:contextualSpacing/>
        <w:jc w:val="both"/>
        <w:rPr>
          <w:rFonts w:eastAsia="Arial"/>
          <w:color w:val="auto"/>
          <w:sz w:val="22"/>
          <w:szCs w:val="22"/>
        </w:rPr>
      </w:pPr>
    </w:p>
    <w:p w14:paraId="52F96E2B" w14:textId="43F180EF" w:rsidR="00572D3B" w:rsidRDefault="00595E48" w:rsidP="00640025">
      <w:pPr>
        <w:pStyle w:val="Default"/>
        <w:contextualSpacing/>
        <w:jc w:val="both"/>
        <w:rPr>
          <w:rFonts w:eastAsia="Arial"/>
          <w:color w:val="auto"/>
          <w:sz w:val="22"/>
          <w:szCs w:val="22"/>
        </w:rPr>
      </w:pPr>
      <w:r>
        <w:rPr>
          <w:rFonts w:eastAsia="Arial"/>
          <w:color w:val="auto"/>
          <w:sz w:val="22"/>
          <w:szCs w:val="22"/>
        </w:rPr>
        <w:t xml:space="preserve">Εντός του 2025 δεν </w:t>
      </w:r>
      <w:r w:rsidR="005248D9">
        <w:rPr>
          <w:rFonts w:eastAsia="Arial"/>
          <w:color w:val="auto"/>
          <w:sz w:val="22"/>
          <w:szCs w:val="22"/>
        </w:rPr>
        <w:t>υπάρχουν</w:t>
      </w:r>
      <w:r>
        <w:rPr>
          <w:rFonts w:eastAsia="Arial"/>
          <w:color w:val="auto"/>
          <w:sz w:val="22"/>
          <w:szCs w:val="22"/>
        </w:rPr>
        <w:t xml:space="preserve"> εισροές από </w:t>
      </w:r>
      <w:r w:rsidR="005248D9">
        <w:rPr>
          <w:rFonts w:eastAsia="Arial"/>
          <w:color w:val="auto"/>
          <w:sz w:val="22"/>
          <w:szCs w:val="22"/>
        </w:rPr>
        <w:t>πωλήσεις</w:t>
      </w:r>
      <w:r>
        <w:rPr>
          <w:rFonts w:eastAsia="Arial"/>
          <w:color w:val="auto"/>
          <w:sz w:val="22"/>
          <w:szCs w:val="22"/>
        </w:rPr>
        <w:t xml:space="preserve"> χαρτοφυλακίων δανείων</w:t>
      </w:r>
      <w:r w:rsidR="005248D9">
        <w:rPr>
          <w:rFonts w:eastAsia="Arial"/>
          <w:color w:val="auto"/>
          <w:sz w:val="22"/>
          <w:szCs w:val="22"/>
        </w:rPr>
        <w:t xml:space="preserve"> σε σχέση με ταμειακές εισροές €47,3εκ. το 2024.</w:t>
      </w:r>
    </w:p>
    <w:p w14:paraId="0BD010AA" w14:textId="46043BFE" w:rsidR="002138B7" w:rsidRDefault="002138B7" w:rsidP="00640025">
      <w:pPr>
        <w:pStyle w:val="Default"/>
        <w:contextualSpacing/>
        <w:jc w:val="both"/>
        <w:rPr>
          <w:rFonts w:eastAsia="Arial"/>
          <w:color w:val="auto"/>
          <w:sz w:val="22"/>
          <w:szCs w:val="22"/>
        </w:rPr>
      </w:pPr>
    </w:p>
    <w:p w14:paraId="6660A325" w14:textId="2F2AE7BB" w:rsidR="00AA7E2C" w:rsidRPr="007C5037" w:rsidRDefault="00AA7E2C" w:rsidP="008F4D3E">
      <w:pPr>
        <w:pStyle w:val="Default"/>
        <w:contextualSpacing/>
        <w:jc w:val="both"/>
        <w:rPr>
          <w:rFonts w:eastAsia="Arial"/>
          <w:color w:val="auto"/>
          <w:sz w:val="22"/>
          <w:szCs w:val="22"/>
        </w:rPr>
      </w:pPr>
      <w:r w:rsidRPr="007C5037">
        <w:rPr>
          <w:rFonts w:eastAsia="Arial"/>
          <w:color w:val="auto"/>
          <w:sz w:val="22"/>
          <w:szCs w:val="22"/>
        </w:rPr>
        <w:t>Οι σωρευτικές ταμειακές εισροές από την έναρξη εργασιών της ΚΕΔΙΠΕΣ την 1</w:t>
      </w:r>
      <w:r w:rsidR="00122219" w:rsidRPr="00B07143">
        <w:rPr>
          <w:rFonts w:eastAsia="Arial"/>
          <w:color w:val="auto"/>
          <w:sz w:val="22"/>
          <w:szCs w:val="22"/>
          <w:vertAlign w:val="superscript"/>
        </w:rPr>
        <w:t>η</w:t>
      </w:r>
      <w:r w:rsidR="00122219">
        <w:rPr>
          <w:rFonts w:eastAsia="Arial"/>
          <w:color w:val="auto"/>
          <w:sz w:val="22"/>
          <w:szCs w:val="22"/>
        </w:rPr>
        <w:t xml:space="preserve"> </w:t>
      </w:r>
      <w:r w:rsidR="000E2C8D">
        <w:rPr>
          <w:rFonts w:eastAsia="Arial"/>
          <w:color w:val="auto"/>
          <w:sz w:val="22"/>
          <w:szCs w:val="22"/>
        </w:rPr>
        <w:t>Σεπτεμβρίου</w:t>
      </w:r>
      <w:r w:rsidR="00122219">
        <w:rPr>
          <w:rFonts w:eastAsia="Arial"/>
          <w:color w:val="auto"/>
          <w:sz w:val="22"/>
          <w:szCs w:val="22"/>
        </w:rPr>
        <w:t xml:space="preserve"> 2018</w:t>
      </w:r>
      <w:r w:rsidRPr="007C5037">
        <w:rPr>
          <w:rFonts w:eastAsia="Arial"/>
          <w:color w:val="auto"/>
          <w:sz w:val="22"/>
          <w:szCs w:val="22"/>
        </w:rPr>
        <w:t xml:space="preserve"> μέχρι και τ</w:t>
      </w:r>
      <w:r w:rsidR="000E2C8D">
        <w:rPr>
          <w:rFonts w:eastAsia="Arial"/>
          <w:color w:val="auto"/>
          <w:sz w:val="22"/>
          <w:szCs w:val="22"/>
        </w:rPr>
        <w:t>ην</w:t>
      </w:r>
      <w:r w:rsidRPr="007C5037">
        <w:rPr>
          <w:rFonts w:eastAsia="Arial"/>
          <w:color w:val="auto"/>
          <w:sz w:val="22"/>
          <w:szCs w:val="22"/>
        </w:rPr>
        <w:t xml:space="preserve"> </w:t>
      </w:r>
      <w:r w:rsidR="000E2C8D" w:rsidRPr="007C5037">
        <w:rPr>
          <w:rFonts w:eastAsia="Arial"/>
          <w:color w:val="auto"/>
          <w:sz w:val="22"/>
          <w:szCs w:val="22"/>
        </w:rPr>
        <w:t>3</w:t>
      </w:r>
      <w:r w:rsidR="002138B7">
        <w:rPr>
          <w:rFonts w:eastAsia="Arial"/>
          <w:color w:val="auto"/>
          <w:sz w:val="22"/>
          <w:szCs w:val="22"/>
        </w:rPr>
        <w:t>1</w:t>
      </w:r>
      <w:r w:rsidR="000E2C8D" w:rsidRPr="007C5037">
        <w:rPr>
          <w:rFonts w:eastAsia="Arial"/>
          <w:color w:val="auto"/>
          <w:sz w:val="22"/>
          <w:szCs w:val="22"/>
          <w:vertAlign w:val="superscript"/>
        </w:rPr>
        <w:t>η</w:t>
      </w:r>
      <w:r w:rsidR="000E2C8D">
        <w:rPr>
          <w:rFonts w:eastAsia="Arial"/>
          <w:color w:val="auto"/>
          <w:sz w:val="22"/>
          <w:szCs w:val="22"/>
        </w:rPr>
        <w:t xml:space="preserve"> </w:t>
      </w:r>
      <w:r w:rsidR="002138B7">
        <w:rPr>
          <w:rFonts w:eastAsia="Arial"/>
          <w:color w:val="auto"/>
          <w:sz w:val="22"/>
          <w:szCs w:val="22"/>
        </w:rPr>
        <w:t>Δεκεμβρίου</w:t>
      </w:r>
      <w:r w:rsidR="000E2C8D" w:rsidRPr="007C5037">
        <w:rPr>
          <w:rFonts w:eastAsia="Arial"/>
          <w:color w:val="auto"/>
          <w:sz w:val="22"/>
          <w:szCs w:val="22"/>
        </w:rPr>
        <w:t xml:space="preserve"> 202</w:t>
      </w:r>
      <w:r w:rsidR="000E2C8D">
        <w:rPr>
          <w:rFonts w:eastAsia="Arial"/>
          <w:color w:val="auto"/>
          <w:sz w:val="22"/>
          <w:szCs w:val="22"/>
        </w:rPr>
        <w:t xml:space="preserve">5 </w:t>
      </w:r>
      <w:r w:rsidRPr="007C5037">
        <w:rPr>
          <w:rFonts w:eastAsia="Arial"/>
          <w:color w:val="auto"/>
          <w:sz w:val="22"/>
          <w:szCs w:val="22"/>
        </w:rPr>
        <w:t>ανήλθαν σε €2.</w:t>
      </w:r>
      <w:r w:rsidR="002138B7">
        <w:rPr>
          <w:rFonts w:eastAsia="Arial"/>
          <w:color w:val="auto"/>
          <w:sz w:val="22"/>
          <w:szCs w:val="22"/>
        </w:rPr>
        <w:t>935</w:t>
      </w:r>
      <w:r w:rsidRPr="007C5037">
        <w:rPr>
          <w:rFonts w:eastAsia="Arial"/>
          <w:color w:val="auto"/>
          <w:sz w:val="22"/>
          <w:szCs w:val="22"/>
        </w:rPr>
        <w:t>εκ. Οι εισπράξεις από τη διαχείριση χορηγήσεων και ακινήτων ανήλθαν στα €2.</w:t>
      </w:r>
      <w:r w:rsidR="00572D3B">
        <w:rPr>
          <w:rFonts w:eastAsia="Arial"/>
          <w:color w:val="auto"/>
          <w:sz w:val="22"/>
          <w:szCs w:val="22"/>
        </w:rPr>
        <w:t>840</w:t>
      </w:r>
      <w:r w:rsidRPr="007C5037">
        <w:rPr>
          <w:rFonts w:eastAsia="Arial"/>
          <w:color w:val="auto"/>
          <w:sz w:val="22"/>
          <w:szCs w:val="22"/>
        </w:rPr>
        <w:t xml:space="preserve">εκ. ή </w:t>
      </w:r>
      <w:r w:rsidR="006018DE" w:rsidRPr="007C5037">
        <w:rPr>
          <w:rFonts w:eastAsia="Arial"/>
          <w:color w:val="auto"/>
          <w:sz w:val="22"/>
          <w:szCs w:val="22"/>
        </w:rPr>
        <w:t>3</w:t>
      </w:r>
      <w:r w:rsidR="00572D3B">
        <w:rPr>
          <w:rFonts w:eastAsia="Arial"/>
          <w:color w:val="auto"/>
          <w:sz w:val="22"/>
          <w:szCs w:val="22"/>
        </w:rPr>
        <w:t>5</w:t>
      </w:r>
      <w:r w:rsidRPr="007C5037">
        <w:rPr>
          <w:rFonts w:eastAsia="Arial"/>
          <w:color w:val="auto"/>
          <w:sz w:val="22"/>
          <w:szCs w:val="22"/>
        </w:rPr>
        <w:t>,</w:t>
      </w:r>
      <w:r w:rsidR="00572D3B">
        <w:rPr>
          <w:rFonts w:eastAsia="Arial"/>
          <w:color w:val="auto"/>
          <w:sz w:val="22"/>
          <w:szCs w:val="22"/>
        </w:rPr>
        <w:t>3</w:t>
      </w:r>
      <w:r w:rsidRPr="007C5037">
        <w:rPr>
          <w:rFonts w:eastAsia="Arial"/>
          <w:color w:val="auto"/>
          <w:sz w:val="22"/>
          <w:szCs w:val="22"/>
        </w:rPr>
        <w:t xml:space="preserve">% της ονομαστικής αξίας του χαρτοφυλακίου χορηγήσεων και ακινήτων ύψους €8.051εκ. κατά την </w:t>
      </w:r>
      <w:r w:rsidR="000E2C8D" w:rsidRPr="007C5037">
        <w:rPr>
          <w:rFonts w:eastAsia="Arial"/>
          <w:color w:val="auto"/>
          <w:sz w:val="22"/>
          <w:szCs w:val="22"/>
        </w:rPr>
        <w:t>1</w:t>
      </w:r>
      <w:r w:rsidR="000E2C8D" w:rsidRPr="000D5BCF">
        <w:rPr>
          <w:rFonts w:eastAsia="Arial"/>
          <w:color w:val="auto"/>
          <w:sz w:val="22"/>
          <w:szCs w:val="22"/>
          <w:vertAlign w:val="superscript"/>
        </w:rPr>
        <w:t>η</w:t>
      </w:r>
      <w:r w:rsidR="000E2C8D">
        <w:rPr>
          <w:rFonts w:eastAsia="Arial"/>
          <w:color w:val="auto"/>
          <w:sz w:val="22"/>
          <w:szCs w:val="22"/>
        </w:rPr>
        <w:t xml:space="preserve"> Σεπτεμβρίου 2018</w:t>
      </w:r>
      <w:r w:rsidRPr="007C5037">
        <w:rPr>
          <w:rFonts w:eastAsia="Arial"/>
          <w:color w:val="auto"/>
          <w:sz w:val="22"/>
          <w:szCs w:val="22"/>
        </w:rPr>
        <w:t>.</w:t>
      </w:r>
    </w:p>
    <w:p w14:paraId="245FA87F" w14:textId="77777777" w:rsidR="00AA7E2C" w:rsidRPr="007C5037" w:rsidRDefault="00AA7E2C" w:rsidP="00B736C7">
      <w:pPr>
        <w:pStyle w:val="Default"/>
        <w:jc w:val="both"/>
        <w:rPr>
          <w:rFonts w:eastAsia="Arial"/>
          <w:color w:val="auto"/>
          <w:sz w:val="22"/>
          <w:szCs w:val="22"/>
        </w:rPr>
      </w:pPr>
    </w:p>
    <w:p w14:paraId="466E0037" w14:textId="6D484F81" w:rsidR="006138DF" w:rsidRDefault="00AA7E2C" w:rsidP="00B20E24">
      <w:pPr>
        <w:pStyle w:val="Default"/>
        <w:numPr>
          <w:ilvl w:val="0"/>
          <w:numId w:val="3"/>
        </w:numPr>
        <w:ind w:left="0"/>
        <w:contextualSpacing/>
        <w:jc w:val="both"/>
        <w:rPr>
          <w:rFonts w:eastAsia="Arial"/>
          <w:color w:val="auto"/>
          <w:sz w:val="22"/>
          <w:szCs w:val="22"/>
        </w:rPr>
      </w:pPr>
      <w:r w:rsidRPr="00B20E24">
        <w:rPr>
          <w:rFonts w:eastAsia="Arial"/>
          <w:color w:val="auto"/>
          <w:sz w:val="22"/>
          <w:szCs w:val="22"/>
        </w:rPr>
        <w:t xml:space="preserve">Οι λειτουργικές δαπάνες και οι δαπάνες διαχείρισης περιουσιακών στοιχείων του </w:t>
      </w:r>
      <w:r w:rsidR="006138DF">
        <w:rPr>
          <w:rFonts w:eastAsia="Arial"/>
          <w:color w:val="auto"/>
          <w:sz w:val="22"/>
          <w:szCs w:val="22"/>
        </w:rPr>
        <w:t>Β</w:t>
      </w:r>
      <w:r w:rsidR="00BF2A1D" w:rsidRPr="00B20E24">
        <w:rPr>
          <w:rFonts w:eastAsia="Arial"/>
          <w:color w:val="auto"/>
          <w:sz w:val="22"/>
          <w:szCs w:val="22"/>
        </w:rPr>
        <w:t>’ Εξαμήνου</w:t>
      </w:r>
      <w:r w:rsidR="00B20E24">
        <w:rPr>
          <w:rFonts w:eastAsia="Arial"/>
          <w:color w:val="auto"/>
          <w:sz w:val="22"/>
          <w:szCs w:val="22"/>
        </w:rPr>
        <w:t xml:space="preserve"> </w:t>
      </w:r>
      <w:r w:rsidRPr="00B20E24">
        <w:rPr>
          <w:rFonts w:eastAsia="Arial"/>
          <w:color w:val="auto"/>
          <w:sz w:val="22"/>
          <w:szCs w:val="22"/>
        </w:rPr>
        <w:t>202</w:t>
      </w:r>
      <w:r w:rsidR="006F43FC" w:rsidRPr="00B20E24">
        <w:rPr>
          <w:rFonts w:eastAsia="Arial"/>
          <w:color w:val="auto"/>
          <w:sz w:val="22"/>
          <w:szCs w:val="22"/>
        </w:rPr>
        <w:t>5</w:t>
      </w:r>
      <w:r w:rsidRPr="00B20E24">
        <w:rPr>
          <w:rFonts w:eastAsia="Arial"/>
          <w:color w:val="auto"/>
          <w:sz w:val="22"/>
          <w:szCs w:val="22"/>
        </w:rPr>
        <w:t xml:space="preserve"> ανήλθαν στα €</w:t>
      </w:r>
      <w:r w:rsidR="00B20E24" w:rsidRPr="00B20E24">
        <w:rPr>
          <w:rFonts w:eastAsia="Arial"/>
          <w:color w:val="auto"/>
          <w:sz w:val="22"/>
          <w:szCs w:val="22"/>
        </w:rPr>
        <w:t>48</w:t>
      </w:r>
      <w:r w:rsidRPr="00B20E24">
        <w:rPr>
          <w:rFonts w:eastAsia="Arial"/>
          <w:color w:val="auto"/>
          <w:sz w:val="22"/>
          <w:szCs w:val="22"/>
        </w:rPr>
        <w:t>,</w:t>
      </w:r>
      <w:r w:rsidR="006138DF">
        <w:rPr>
          <w:rFonts w:eastAsia="Arial"/>
          <w:color w:val="auto"/>
          <w:sz w:val="22"/>
          <w:szCs w:val="22"/>
        </w:rPr>
        <w:t>8</w:t>
      </w:r>
      <w:r w:rsidRPr="00B20E24">
        <w:rPr>
          <w:rFonts w:eastAsia="Arial"/>
          <w:color w:val="auto"/>
          <w:sz w:val="22"/>
          <w:szCs w:val="22"/>
        </w:rPr>
        <w:t>εκ</w:t>
      </w:r>
      <w:r w:rsidR="00304970">
        <w:rPr>
          <w:rFonts w:eastAsia="Arial"/>
          <w:color w:val="auto"/>
          <w:sz w:val="22"/>
          <w:szCs w:val="22"/>
        </w:rPr>
        <w:t>.</w:t>
      </w:r>
      <w:r w:rsidRPr="00B20E24">
        <w:rPr>
          <w:rFonts w:eastAsia="Arial"/>
          <w:color w:val="auto"/>
          <w:sz w:val="22"/>
          <w:szCs w:val="22"/>
        </w:rPr>
        <w:t xml:space="preserve">, </w:t>
      </w:r>
      <w:r w:rsidR="006F43FC" w:rsidRPr="00B20E24">
        <w:rPr>
          <w:rFonts w:eastAsia="Arial"/>
          <w:color w:val="auto"/>
          <w:sz w:val="22"/>
          <w:szCs w:val="22"/>
        </w:rPr>
        <w:t>μειωμένες</w:t>
      </w:r>
      <w:r w:rsidRPr="00B20E24">
        <w:rPr>
          <w:rFonts w:eastAsia="Arial"/>
          <w:color w:val="auto"/>
          <w:sz w:val="22"/>
          <w:szCs w:val="22"/>
        </w:rPr>
        <w:t xml:space="preserve"> κατά </w:t>
      </w:r>
      <w:r w:rsidR="00B20E24">
        <w:rPr>
          <w:rFonts w:eastAsia="Arial"/>
          <w:color w:val="auto"/>
          <w:sz w:val="22"/>
          <w:szCs w:val="22"/>
        </w:rPr>
        <w:t>3</w:t>
      </w:r>
      <w:r w:rsidRPr="00B20E24">
        <w:rPr>
          <w:rFonts w:eastAsia="Arial"/>
          <w:color w:val="auto"/>
          <w:sz w:val="22"/>
          <w:szCs w:val="22"/>
        </w:rPr>
        <w:t>,</w:t>
      </w:r>
      <w:r w:rsidR="006138DF">
        <w:rPr>
          <w:rFonts w:eastAsia="Arial"/>
          <w:color w:val="auto"/>
          <w:sz w:val="22"/>
          <w:szCs w:val="22"/>
        </w:rPr>
        <w:t>2</w:t>
      </w:r>
      <w:r w:rsidRPr="00B20E24">
        <w:rPr>
          <w:rFonts w:eastAsia="Arial"/>
          <w:color w:val="auto"/>
          <w:sz w:val="22"/>
          <w:szCs w:val="22"/>
        </w:rPr>
        <w:t>% από €</w:t>
      </w:r>
      <w:r w:rsidR="00B20E24" w:rsidRPr="00B20E24">
        <w:rPr>
          <w:rFonts w:eastAsia="Arial"/>
          <w:color w:val="auto"/>
          <w:sz w:val="22"/>
          <w:szCs w:val="22"/>
        </w:rPr>
        <w:t>5</w:t>
      </w:r>
      <w:r w:rsidR="006138DF">
        <w:rPr>
          <w:rFonts w:eastAsia="Arial"/>
          <w:color w:val="auto"/>
          <w:sz w:val="22"/>
          <w:szCs w:val="22"/>
        </w:rPr>
        <w:t>0</w:t>
      </w:r>
      <w:r w:rsidRPr="00B20E24">
        <w:rPr>
          <w:rFonts w:eastAsia="Arial"/>
          <w:color w:val="auto"/>
          <w:sz w:val="22"/>
          <w:szCs w:val="22"/>
        </w:rPr>
        <w:t>,</w:t>
      </w:r>
      <w:r w:rsidR="006138DF">
        <w:rPr>
          <w:rFonts w:eastAsia="Arial"/>
          <w:color w:val="auto"/>
          <w:sz w:val="22"/>
          <w:szCs w:val="22"/>
        </w:rPr>
        <w:t>4</w:t>
      </w:r>
      <w:r w:rsidRPr="00B20E24">
        <w:rPr>
          <w:rFonts w:eastAsia="Arial"/>
          <w:color w:val="auto"/>
          <w:sz w:val="22"/>
          <w:szCs w:val="22"/>
        </w:rPr>
        <w:t xml:space="preserve">εκ. το </w:t>
      </w:r>
      <w:r w:rsidR="006138DF">
        <w:rPr>
          <w:rFonts w:eastAsia="Arial"/>
          <w:color w:val="auto"/>
          <w:sz w:val="22"/>
          <w:szCs w:val="22"/>
        </w:rPr>
        <w:t>Β</w:t>
      </w:r>
      <w:r w:rsidRPr="00B20E24">
        <w:rPr>
          <w:rFonts w:eastAsia="Arial"/>
          <w:color w:val="auto"/>
          <w:sz w:val="22"/>
          <w:szCs w:val="22"/>
        </w:rPr>
        <w:t xml:space="preserve">’ </w:t>
      </w:r>
      <w:r w:rsidR="00B20E24" w:rsidRPr="00B20E24">
        <w:rPr>
          <w:rFonts w:eastAsia="Arial"/>
          <w:color w:val="auto"/>
          <w:sz w:val="22"/>
          <w:szCs w:val="22"/>
        </w:rPr>
        <w:t>Εξάμηνο</w:t>
      </w:r>
      <w:r w:rsidRPr="00B20E24">
        <w:rPr>
          <w:rFonts w:eastAsia="Arial"/>
          <w:color w:val="auto"/>
          <w:sz w:val="22"/>
          <w:szCs w:val="22"/>
        </w:rPr>
        <w:t xml:space="preserve"> του 202</w:t>
      </w:r>
      <w:r w:rsidR="00B20E24" w:rsidRPr="00B20E24">
        <w:rPr>
          <w:rFonts w:eastAsia="Arial"/>
          <w:color w:val="auto"/>
          <w:sz w:val="22"/>
          <w:szCs w:val="22"/>
        </w:rPr>
        <w:t>4</w:t>
      </w:r>
      <w:r w:rsidR="006138DF">
        <w:rPr>
          <w:rFonts w:eastAsia="Arial"/>
          <w:color w:val="auto"/>
          <w:sz w:val="22"/>
          <w:szCs w:val="22"/>
        </w:rPr>
        <w:t>.</w:t>
      </w:r>
    </w:p>
    <w:p w14:paraId="63DCEBCB" w14:textId="77777777" w:rsidR="006138DF" w:rsidRDefault="006138DF" w:rsidP="006138DF">
      <w:pPr>
        <w:pStyle w:val="Default"/>
        <w:contextualSpacing/>
        <w:jc w:val="both"/>
        <w:rPr>
          <w:rFonts w:eastAsia="Arial"/>
          <w:color w:val="auto"/>
          <w:sz w:val="22"/>
          <w:szCs w:val="22"/>
        </w:rPr>
      </w:pPr>
    </w:p>
    <w:p w14:paraId="10829512" w14:textId="34EB32AF" w:rsidR="006138DF" w:rsidRDefault="006138DF" w:rsidP="00640025">
      <w:pPr>
        <w:pStyle w:val="Default"/>
        <w:contextualSpacing/>
        <w:jc w:val="both"/>
        <w:rPr>
          <w:rFonts w:eastAsia="Arial"/>
          <w:color w:val="auto"/>
          <w:sz w:val="22"/>
          <w:szCs w:val="22"/>
        </w:rPr>
      </w:pPr>
      <w:r w:rsidRPr="00B20E24">
        <w:rPr>
          <w:rFonts w:eastAsia="Arial"/>
          <w:color w:val="auto"/>
          <w:sz w:val="22"/>
          <w:szCs w:val="22"/>
        </w:rPr>
        <w:t xml:space="preserve">Οι λειτουργικές δαπάνες και οι δαπάνες διαχείρισης περιουσιακών στοιχείων </w:t>
      </w:r>
      <w:r w:rsidR="00B96695">
        <w:rPr>
          <w:rFonts w:eastAsia="Arial"/>
          <w:color w:val="auto"/>
          <w:sz w:val="22"/>
          <w:szCs w:val="22"/>
        </w:rPr>
        <w:t xml:space="preserve">για </w:t>
      </w:r>
      <w:r>
        <w:rPr>
          <w:rFonts w:eastAsia="Arial"/>
          <w:color w:val="auto"/>
          <w:sz w:val="22"/>
          <w:szCs w:val="22"/>
        </w:rPr>
        <w:t xml:space="preserve">το </w:t>
      </w:r>
      <w:r w:rsidRPr="00B20E24">
        <w:rPr>
          <w:rFonts w:eastAsia="Arial"/>
          <w:color w:val="auto"/>
          <w:sz w:val="22"/>
          <w:szCs w:val="22"/>
        </w:rPr>
        <w:t>2025 ανήλθαν στα €</w:t>
      </w:r>
      <w:r>
        <w:rPr>
          <w:rFonts w:eastAsia="Arial"/>
          <w:color w:val="auto"/>
          <w:sz w:val="22"/>
          <w:szCs w:val="22"/>
        </w:rPr>
        <w:t>97</w:t>
      </w:r>
      <w:r w:rsidRPr="00B20E24">
        <w:rPr>
          <w:rFonts w:eastAsia="Arial"/>
          <w:color w:val="auto"/>
          <w:sz w:val="22"/>
          <w:szCs w:val="22"/>
        </w:rPr>
        <w:t>,</w:t>
      </w:r>
      <w:r>
        <w:rPr>
          <w:rFonts w:eastAsia="Arial"/>
          <w:color w:val="auto"/>
          <w:sz w:val="22"/>
          <w:szCs w:val="22"/>
        </w:rPr>
        <w:t>4</w:t>
      </w:r>
      <w:r w:rsidRPr="00B20E24">
        <w:rPr>
          <w:rFonts w:eastAsia="Arial"/>
          <w:color w:val="auto"/>
          <w:sz w:val="22"/>
          <w:szCs w:val="22"/>
        </w:rPr>
        <w:t>εκ</w:t>
      </w:r>
      <w:r>
        <w:rPr>
          <w:rFonts w:eastAsia="Arial"/>
          <w:color w:val="auto"/>
          <w:sz w:val="22"/>
          <w:szCs w:val="22"/>
        </w:rPr>
        <w:t>.</w:t>
      </w:r>
      <w:r w:rsidRPr="00B20E24">
        <w:rPr>
          <w:rFonts w:eastAsia="Arial"/>
          <w:color w:val="auto"/>
          <w:sz w:val="22"/>
          <w:szCs w:val="22"/>
        </w:rPr>
        <w:t xml:space="preserve">, μειωμένες κατά </w:t>
      </w:r>
      <w:r w:rsidR="009731EB">
        <w:rPr>
          <w:rFonts w:eastAsia="Arial"/>
          <w:color w:val="auto"/>
          <w:sz w:val="22"/>
          <w:szCs w:val="22"/>
        </w:rPr>
        <w:t>8</w:t>
      </w:r>
      <w:r w:rsidRPr="00B20E24">
        <w:rPr>
          <w:rFonts w:eastAsia="Arial"/>
          <w:color w:val="auto"/>
          <w:sz w:val="22"/>
          <w:szCs w:val="22"/>
        </w:rPr>
        <w:t>,</w:t>
      </w:r>
      <w:r w:rsidR="009731EB">
        <w:rPr>
          <w:rFonts w:eastAsia="Arial"/>
          <w:color w:val="auto"/>
          <w:sz w:val="22"/>
          <w:szCs w:val="22"/>
        </w:rPr>
        <w:t>7</w:t>
      </w:r>
      <w:r w:rsidRPr="00B20E24">
        <w:rPr>
          <w:rFonts w:eastAsia="Arial"/>
          <w:color w:val="auto"/>
          <w:sz w:val="22"/>
          <w:szCs w:val="22"/>
        </w:rPr>
        <w:t>% από €</w:t>
      </w:r>
      <w:r>
        <w:rPr>
          <w:rFonts w:eastAsia="Arial"/>
          <w:color w:val="auto"/>
          <w:sz w:val="22"/>
          <w:szCs w:val="22"/>
        </w:rPr>
        <w:t>106</w:t>
      </w:r>
      <w:r w:rsidRPr="00B20E24">
        <w:rPr>
          <w:rFonts w:eastAsia="Arial"/>
          <w:color w:val="auto"/>
          <w:sz w:val="22"/>
          <w:szCs w:val="22"/>
        </w:rPr>
        <w:t>,</w:t>
      </w:r>
      <w:r>
        <w:rPr>
          <w:rFonts w:eastAsia="Arial"/>
          <w:color w:val="auto"/>
          <w:sz w:val="22"/>
          <w:szCs w:val="22"/>
        </w:rPr>
        <w:t>7</w:t>
      </w:r>
      <w:r w:rsidRPr="00B20E24">
        <w:rPr>
          <w:rFonts w:eastAsia="Arial"/>
          <w:color w:val="auto"/>
          <w:sz w:val="22"/>
          <w:szCs w:val="22"/>
        </w:rPr>
        <w:t>εκ. το 2024</w:t>
      </w:r>
      <w:r>
        <w:rPr>
          <w:rFonts w:eastAsia="Arial"/>
          <w:color w:val="auto"/>
          <w:sz w:val="22"/>
          <w:szCs w:val="22"/>
        </w:rPr>
        <w:t>.</w:t>
      </w:r>
    </w:p>
    <w:p w14:paraId="35DFFE0C" w14:textId="77777777" w:rsidR="00AA7E2C" w:rsidRPr="00B20E24" w:rsidRDefault="00AA7E2C" w:rsidP="00B20E24">
      <w:pPr>
        <w:pStyle w:val="Default"/>
        <w:contextualSpacing/>
        <w:jc w:val="both"/>
        <w:rPr>
          <w:rFonts w:eastAsia="Arial"/>
          <w:color w:val="auto"/>
          <w:sz w:val="22"/>
          <w:szCs w:val="22"/>
        </w:rPr>
      </w:pPr>
    </w:p>
    <w:p w14:paraId="0AE27845" w14:textId="482B57E4" w:rsidR="00780A7D" w:rsidRPr="007C5037" w:rsidRDefault="00780A7D" w:rsidP="00B736C7">
      <w:pPr>
        <w:pStyle w:val="Default"/>
        <w:numPr>
          <w:ilvl w:val="0"/>
          <w:numId w:val="3"/>
        </w:numPr>
        <w:ind w:left="0"/>
        <w:contextualSpacing/>
        <w:jc w:val="both"/>
        <w:rPr>
          <w:rFonts w:eastAsia="Arial"/>
          <w:color w:val="auto"/>
          <w:sz w:val="22"/>
          <w:szCs w:val="22"/>
        </w:rPr>
      </w:pPr>
      <w:r w:rsidRPr="007C5037">
        <w:rPr>
          <w:rFonts w:eastAsia="Arial"/>
          <w:color w:val="auto"/>
          <w:sz w:val="22"/>
          <w:szCs w:val="22"/>
        </w:rPr>
        <w:lastRenderedPageBreak/>
        <w:t>Οι συνολικές λύσεις αναδιάρθρωσης ή/και ανάκτησης μέσω της διαχειρίστριας εταιρείας doValue διαμορφώθηκαν σε €</w:t>
      </w:r>
      <w:r w:rsidR="00B20E24">
        <w:rPr>
          <w:rFonts w:eastAsia="Arial"/>
          <w:color w:val="auto"/>
          <w:sz w:val="22"/>
          <w:szCs w:val="22"/>
        </w:rPr>
        <w:t>3</w:t>
      </w:r>
      <w:r w:rsidR="004779E0">
        <w:rPr>
          <w:rFonts w:eastAsia="Arial"/>
          <w:color w:val="auto"/>
          <w:sz w:val="22"/>
          <w:szCs w:val="22"/>
        </w:rPr>
        <w:t>9</w:t>
      </w:r>
      <w:r w:rsidR="00B20E24">
        <w:rPr>
          <w:rFonts w:eastAsia="Arial"/>
          <w:color w:val="auto"/>
          <w:sz w:val="22"/>
          <w:szCs w:val="22"/>
        </w:rPr>
        <w:t>1</w:t>
      </w:r>
      <w:r w:rsidRPr="007C5037">
        <w:rPr>
          <w:rFonts w:eastAsia="Arial"/>
          <w:color w:val="auto"/>
          <w:sz w:val="22"/>
          <w:szCs w:val="22"/>
        </w:rPr>
        <w:t xml:space="preserve">εκ. για το </w:t>
      </w:r>
      <w:r w:rsidR="009731EB">
        <w:rPr>
          <w:rFonts w:eastAsia="Arial"/>
          <w:color w:val="auto"/>
          <w:sz w:val="22"/>
          <w:szCs w:val="22"/>
        </w:rPr>
        <w:t>Β</w:t>
      </w:r>
      <w:r w:rsidR="00BF2A1D">
        <w:rPr>
          <w:rFonts w:eastAsia="Arial"/>
          <w:color w:val="auto"/>
          <w:sz w:val="22"/>
          <w:szCs w:val="22"/>
        </w:rPr>
        <w:t>’ Εξάμηνο</w:t>
      </w:r>
      <w:r w:rsidR="00B20E24">
        <w:rPr>
          <w:rFonts w:eastAsia="Arial"/>
          <w:color w:val="auto"/>
          <w:sz w:val="22"/>
          <w:szCs w:val="22"/>
        </w:rPr>
        <w:t xml:space="preserve"> </w:t>
      </w:r>
      <w:r w:rsidRPr="007C5037">
        <w:rPr>
          <w:rFonts w:eastAsia="Arial"/>
          <w:color w:val="auto"/>
          <w:sz w:val="22"/>
          <w:szCs w:val="22"/>
        </w:rPr>
        <w:t>202</w:t>
      </w:r>
      <w:r w:rsidR="006F43FC">
        <w:rPr>
          <w:rFonts w:eastAsia="Arial"/>
          <w:color w:val="auto"/>
          <w:sz w:val="22"/>
          <w:szCs w:val="22"/>
        </w:rPr>
        <w:t>5</w:t>
      </w:r>
      <w:r w:rsidRPr="007C5037">
        <w:rPr>
          <w:rFonts w:eastAsia="Arial"/>
          <w:color w:val="auto"/>
          <w:sz w:val="22"/>
          <w:szCs w:val="22"/>
        </w:rPr>
        <w:t xml:space="preserve"> έναντι €</w:t>
      </w:r>
      <w:r w:rsidR="004779E0">
        <w:rPr>
          <w:rFonts w:eastAsia="Arial"/>
          <w:color w:val="auto"/>
          <w:sz w:val="22"/>
          <w:szCs w:val="22"/>
        </w:rPr>
        <w:t>361</w:t>
      </w:r>
      <w:r w:rsidRPr="007C5037">
        <w:rPr>
          <w:rFonts w:eastAsia="Arial"/>
          <w:color w:val="auto"/>
          <w:sz w:val="22"/>
          <w:szCs w:val="22"/>
        </w:rPr>
        <w:t xml:space="preserve">εκ. για το </w:t>
      </w:r>
      <w:r w:rsidR="009731EB">
        <w:rPr>
          <w:rFonts w:eastAsia="Arial"/>
          <w:color w:val="auto"/>
          <w:sz w:val="22"/>
          <w:szCs w:val="22"/>
        </w:rPr>
        <w:t>Β</w:t>
      </w:r>
      <w:r w:rsidRPr="007C5037">
        <w:rPr>
          <w:rFonts w:eastAsia="Arial"/>
          <w:color w:val="auto"/>
          <w:sz w:val="22"/>
          <w:szCs w:val="22"/>
        </w:rPr>
        <w:t xml:space="preserve">’ </w:t>
      </w:r>
      <w:r w:rsidR="00B20E24">
        <w:rPr>
          <w:rFonts w:eastAsia="Arial"/>
          <w:color w:val="auto"/>
          <w:sz w:val="22"/>
          <w:szCs w:val="22"/>
        </w:rPr>
        <w:t>Εξάμηνο</w:t>
      </w:r>
      <w:r w:rsidRPr="007C5037">
        <w:rPr>
          <w:rFonts w:eastAsia="Arial"/>
          <w:color w:val="auto"/>
          <w:sz w:val="22"/>
          <w:szCs w:val="22"/>
        </w:rPr>
        <w:t xml:space="preserve"> 202</w:t>
      </w:r>
      <w:r w:rsidR="00B20E24">
        <w:rPr>
          <w:rFonts w:eastAsia="Arial"/>
          <w:color w:val="auto"/>
          <w:sz w:val="22"/>
          <w:szCs w:val="22"/>
        </w:rPr>
        <w:t>4.</w:t>
      </w:r>
      <w:r w:rsidRPr="007C5037">
        <w:rPr>
          <w:rFonts w:eastAsia="Arial"/>
          <w:color w:val="auto"/>
          <w:sz w:val="22"/>
          <w:szCs w:val="22"/>
        </w:rPr>
        <w:t xml:space="preserve"> </w:t>
      </w:r>
    </w:p>
    <w:p w14:paraId="2D2CA385" w14:textId="77777777" w:rsidR="00780A7D" w:rsidRPr="007C5037" w:rsidRDefault="00780A7D" w:rsidP="00B736C7">
      <w:pPr>
        <w:pStyle w:val="Default"/>
        <w:contextualSpacing/>
        <w:jc w:val="both"/>
        <w:rPr>
          <w:rFonts w:eastAsia="Arial"/>
          <w:color w:val="auto"/>
          <w:sz w:val="22"/>
          <w:szCs w:val="22"/>
        </w:rPr>
      </w:pPr>
    </w:p>
    <w:p w14:paraId="0CBA8615" w14:textId="730E17C5" w:rsidR="009731EB" w:rsidRDefault="009731EB" w:rsidP="00B736C7">
      <w:pPr>
        <w:pStyle w:val="Default"/>
        <w:contextualSpacing/>
        <w:jc w:val="both"/>
        <w:rPr>
          <w:rFonts w:eastAsia="Arial"/>
          <w:color w:val="auto"/>
          <w:sz w:val="22"/>
          <w:szCs w:val="22"/>
        </w:rPr>
      </w:pPr>
      <w:r>
        <w:rPr>
          <w:rFonts w:eastAsia="Arial"/>
          <w:color w:val="auto"/>
          <w:sz w:val="22"/>
          <w:szCs w:val="22"/>
        </w:rPr>
        <w:t>Οι συνολικές λύσεις μέσα στο 2025 ανήλθαν στα €</w:t>
      </w:r>
      <w:r w:rsidR="005A25D0">
        <w:rPr>
          <w:rFonts w:eastAsia="Arial"/>
          <w:color w:val="auto"/>
          <w:sz w:val="22"/>
          <w:szCs w:val="22"/>
        </w:rPr>
        <w:t>712</w:t>
      </w:r>
      <w:r>
        <w:rPr>
          <w:rFonts w:eastAsia="Arial"/>
          <w:color w:val="auto"/>
          <w:sz w:val="22"/>
          <w:szCs w:val="22"/>
        </w:rPr>
        <w:t>εκ., έναντι €</w:t>
      </w:r>
      <w:r w:rsidR="005A25D0">
        <w:rPr>
          <w:rFonts w:eastAsia="Arial"/>
          <w:color w:val="auto"/>
          <w:sz w:val="22"/>
          <w:szCs w:val="22"/>
        </w:rPr>
        <w:t>644</w:t>
      </w:r>
      <w:r>
        <w:rPr>
          <w:rFonts w:eastAsia="Arial"/>
          <w:color w:val="auto"/>
          <w:sz w:val="22"/>
          <w:szCs w:val="22"/>
        </w:rPr>
        <w:t>εκ. το 2024.</w:t>
      </w:r>
    </w:p>
    <w:p w14:paraId="0BBBCEE5" w14:textId="77777777" w:rsidR="009731EB" w:rsidRDefault="009731EB" w:rsidP="00B736C7">
      <w:pPr>
        <w:pStyle w:val="Default"/>
        <w:contextualSpacing/>
        <w:jc w:val="both"/>
        <w:rPr>
          <w:rFonts w:eastAsia="Arial"/>
          <w:color w:val="auto"/>
          <w:sz w:val="22"/>
          <w:szCs w:val="22"/>
        </w:rPr>
      </w:pPr>
    </w:p>
    <w:p w14:paraId="2489DE7D" w14:textId="72954F3A" w:rsidR="00780A7D" w:rsidRPr="007C5037" w:rsidRDefault="00780A7D" w:rsidP="00B736C7">
      <w:pPr>
        <w:pStyle w:val="Default"/>
        <w:contextualSpacing/>
        <w:jc w:val="both"/>
        <w:rPr>
          <w:rFonts w:eastAsia="Arial"/>
          <w:color w:val="auto"/>
          <w:sz w:val="22"/>
          <w:szCs w:val="22"/>
        </w:rPr>
      </w:pPr>
      <w:r w:rsidRPr="007C5037">
        <w:rPr>
          <w:rFonts w:eastAsia="Arial"/>
          <w:color w:val="auto"/>
          <w:sz w:val="22"/>
          <w:szCs w:val="22"/>
        </w:rPr>
        <w:t xml:space="preserve">Οι συνολικές λύσεις από την έναρξη εργασιών της ΚΕΔΙΠΕΣ μέχρι </w:t>
      </w:r>
      <w:r w:rsidR="00C33B8C" w:rsidRPr="007C5037">
        <w:rPr>
          <w:rFonts w:eastAsia="Arial"/>
          <w:color w:val="auto"/>
          <w:sz w:val="22"/>
          <w:szCs w:val="22"/>
        </w:rPr>
        <w:t>την 3</w:t>
      </w:r>
      <w:r w:rsidR="009731EB">
        <w:rPr>
          <w:rFonts w:eastAsia="Arial"/>
          <w:color w:val="auto"/>
          <w:sz w:val="22"/>
          <w:szCs w:val="22"/>
        </w:rPr>
        <w:t>1</w:t>
      </w:r>
      <w:r w:rsidR="00C33B8C" w:rsidRPr="007C5037">
        <w:rPr>
          <w:rFonts w:eastAsia="Arial"/>
          <w:color w:val="auto"/>
          <w:sz w:val="22"/>
          <w:szCs w:val="22"/>
          <w:vertAlign w:val="superscript"/>
        </w:rPr>
        <w:t>η</w:t>
      </w:r>
      <w:r w:rsidR="00C33B8C" w:rsidRPr="007C5037">
        <w:rPr>
          <w:rFonts w:eastAsia="Arial"/>
          <w:color w:val="auto"/>
          <w:sz w:val="22"/>
          <w:szCs w:val="22"/>
        </w:rPr>
        <w:t xml:space="preserve"> </w:t>
      </w:r>
      <w:r w:rsidR="009731EB">
        <w:rPr>
          <w:rFonts w:eastAsia="Arial"/>
          <w:color w:val="auto"/>
          <w:sz w:val="22"/>
          <w:szCs w:val="22"/>
        </w:rPr>
        <w:t>Δεκεμβρίου</w:t>
      </w:r>
      <w:r w:rsidR="00C33B8C" w:rsidRPr="007C5037">
        <w:rPr>
          <w:rFonts w:eastAsia="Arial"/>
          <w:color w:val="auto"/>
          <w:sz w:val="22"/>
          <w:szCs w:val="22"/>
        </w:rPr>
        <w:t xml:space="preserve"> 202</w:t>
      </w:r>
      <w:r w:rsidR="003E120E">
        <w:rPr>
          <w:rFonts w:eastAsia="Arial"/>
          <w:color w:val="auto"/>
          <w:sz w:val="22"/>
          <w:szCs w:val="22"/>
        </w:rPr>
        <w:t>5</w:t>
      </w:r>
      <w:r w:rsidRPr="007C5037">
        <w:rPr>
          <w:rFonts w:eastAsia="Arial"/>
          <w:color w:val="auto"/>
          <w:sz w:val="22"/>
          <w:szCs w:val="22"/>
        </w:rPr>
        <w:t xml:space="preserve"> ανήλθαν στα €</w:t>
      </w:r>
      <w:r w:rsidR="005A25D0">
        <w:rPr>
          <w:rFonts w:eastAsia="Arial"/>
          <w:color w:val="auto"/>
          <w:sz w:val="22"/>
          <w:szCs w:val="22"/>
        </w:rPr>
        <w:t>5.297</w:t>
      </w:r>
      <w:r w:rsidRPr="007C5037">
        <w:rPr>
          <w:rFonts w:eastAsia="Arial"/>
          <w:color w:val="auto"/>
          <w:sz w:val="22"/>
          <w:szCs w:val="22"/>
        </w:rPr>
        <w:t>εκ.</w:t>
      </w:r>
      <w:r w:rsidR="009642E3" w:rsidRPr="00640025">
        <w:rPr>
          <w:rFonts w:eastAsia="Arial"/>
          <w:color w:val="auto"/>
          <w:sz w:val="22"/>
          <w:szCs w:val="22"/>
        </w:rPr>
        <w:t>.</w:t>
      </w:r>
      <w:r w:rsidRPr="007C5037">
        <w:rPr>
          <w:rFonts w:eastAsia="Arial"/>
          <w:color w:val="auto"/>
          <w:sz w:val="22"/>
          <w:szCs w:val="22"/>
        </w:rPr>
        <w:t xml:space="preserve"> </w:t>
      </w:r>
    </w:p>
    <w:p w14:paraId="50902E0C" w14:textId="77777777" w:rsidR="00780A7D" w:rsidRPr="007C5037" w:rsidRDefault="00780A7D" w:rsidP="00B736C7">
      <w:pPr>
        <w:pStyle w:val="Default"/>
        <w:contextualSpacing/>
        <w:jc w:val="both"/>
        <w:rPr>
          <w:rFonts w:eastAsia="Arial"/>
          <w:color w:val="auto"/>
          <w:sz w:val="22"/>
          <w:szCs w:val="22"/>
        </w:rPr>
      </w:pPr>
    </w:p>
    <w:p w14:paraId="675C0EC1" w14:textId="78226DAC" w:rsidR="00AA7E2C" w:rsidRPr="007C5037" w:rsidRDefault="00AA7E2C" w:rsidP="00B736C7">
      <w:pPr>
        <w:pStyle w:val="Default"/>
        <w:numPr>
          <w:ilvl w:val="0"/>
          <w:numId w:val="3"/>
        </w:numPr>
        <w:ind w:left="0"/>
        <w:contextualSpacing/>
        <w:jc w:val="both"/>
        <w:rPr>
          <w:rFonts w:eastAsia="Arial"/>
          <w:color w:val="auto"/>
          <w:sz w:val="22"/>
          <w:szCs w:val="22"/>
        </w:rPr>
      </w:pPr>
      <w:r w:rsidRPr="007C5037">
        <w:rPr>
          <w:rFonts w:eastAsia="Arial"/>
          <w:color w:val="auto"/>
          <w:sz w:val="22"/>
          <w:szCs w:val="22"/>
        </w:rPr>
        <w:t>Οι χορηγήσεις σε ονομαστική αξία διαμορφώθηκαν σε €</w:t>
      </w:r>
      <w:r w:rsidR="008C2A7D">
        <w:rPr>
          <w:rFonts w:eastAsia="Arial"/>
          <w:color w:val="auto"/>
          <w:sz w:val="22"/>
          <w:szCs w:val="22"/>
        </w:rPr>
        <w:t>4.891</w:t>
      </w:r>
      <w:r w:rsidRPr="007C5037">
        <w:rPr>
          <w:rFonts w:eastAsia="Arial"/>
          <w:color w:val="auto"/>
          <w:sz w:val="22"/>
          <w:szCs w:val="22"/>
        </w:rPr>
        <w:t xml:space="preserve">εκ. στο τέλος του </w:t>
      </w:r>
      <w:r w:rsidR="009731EB">
        <w:rPr>
          <w:rFonts w:eastAsia="Arial"/>
          <w:color w:val="auto"/>
          <w:sz w:val="22"/>
          <w:szCs w:val="22"/>
        </w:rPr>
        <w:t>Β</w:t>
      </w:r>
      <w:r w:rsidR="00BF2A1D">
        <w:rPr>
          <w:rFonts w:eastAsia="Arial"/>
          <w:color w:val="auto"/>
          <w:sz w:val="22"/>
          <w:szCs w:val="22"/>
        </w:rPr>
        <w:t>’ Εξαμήνου</w:t>
      </w:r>
      <w:r w:rsidR="00B20E24">
        <w:rPr>
          <w:rFonts w:eastAsia="Arial"/>
          <w:color w:val="auto"/>
          <w:sz w:val="22"/>
          <w:szCs w:val="22"/>
        </w:rPr>
        <w:t xml:space="preserve"> </w:t>
      </w:r>
      <w:r w:rsidRPr="007C5037">
        <w:rPr>
          <w:rFonts w:eastAsia="Arial"/>
          <w:color w:val="auto"/>
          <w:sz w:val="22"/>
          <w:szCs w:val="22"/>
        </w:rPr>
        <w:t>202</w:t>
      </w:r>
      <w:r w:rsidR="00A46780">
        <w:rPr>
          <w:rFonts w:eastAsia="Arial"/>
          <w:color w:val="auto"/>
          <w:sz w:val="22"/>
          <w:szCs w:val="22"/>
        </w:rPr>
        <w:t>5</w:t>
      </w:r>
      <w:r w:rsidRPr="007C5037">
        <w:rPr>
          <w:rFonts w:eastAsia="Arial"/>
          <w:color w:val="auto"/>
          <w:sz w:val="22"/>
          <w:szCs w:val="22"/>
        </w:rPr>
        <w:t xml:space="preserve"> από €</w:t>
      </w:r>
      <w:r w:rsidR="00A46780">
        <w:rPr>
          <w:rFonts w:eastAsia="Arial"/>
          <w:color w:val="auto"/>
          <w:sz w:val="22"/>
          <w:szCs w:val="22"/>
        </w:rPr>
        <w:t>5.</w:t>
      </w:r>
      <w:r w:rsidR="000359E6">
        <w:rPr>
          <w:rFonts w:eastAsia="Arial"/>
          <w:color w:val="auto"/>
          <w:sz w:val="22"/>
          <w:szCs w:val="22"/>
        </w:rPr>
        <w:t>439</w:t>
      </w:r>
      <w:r w:rsidRPr="007C5037">
        <w:rPr>
          <w:rFonts w:eastAsia="Arial"/>
          <w:color w:val="auto"/>
          <w:sz w:val="22"/>
          <w:szCs w:val="22"/>
        </w:rPr>
        <w:t xml:space="preserve">εκ. στο τέλος του </w:t>
      </w:r>
      <w:r w:rsidR="000359E6">
        <w:rPr>
          <w:rFonts w:eastAsia="Arial"/>
          <w:color w:val="auto"/>
          <w:sz w:val="22"/>
          <w:szCs w:val="22"/>
        </w:rPr>
        <w:t>έτους</w:t>
      </w:r>
      <w:r w:rsidRPr="007C5037">
        <w:rPr>
          <w:rFonts w:eastAsia="Arial"/>
          <w:color w:val="auto"/>
          <w:sz w:val="22"/>
          <w:szCs w:val="22"/>
        </w:rPr>
        <w:t xml:space="preserve"> 202</w:t>
      </w:r>
      <w:r w:rsidR="009731EB">
        <w:rPr>
          <w:rFonts w:eastAsia="Arial"/>
          <w:color w:val="auto"/>
          <w:sz w:val="22"/>
          <w:szCs w:val="22"/>
        </w:rPr>
        <w:t>4</w:t>
      </w:r>
      <w:r w:rsidR="00304970">
        <w:rPr>
          <w:rFonts w:eastAsia="Arial"/>
          <w:color w:val="auto"/>
          <w:sz w:val="22"/>
          <w:szCs w:val="22"/>
        </w:rPr>
        <w:t xml:space="preserve"> και </w:t>
      </w:r>
      <w:r w:rsidR="00852141">
        <w:rPr>
          <w:rFonts w:eastAsia="Arial"/>
          <w:color w:val="auto"/>
          <w:sz w:val="22"/>
          <w:szCs w:val="22"/>
        </w:rPr>
        <w:t>€</w:t>
      </w:r>
      <w:r w:rsidR="008C2A7D">
        <w:rPr>
          <w:rFonts w:eastAsia="Arial"/>
          <w:color w:val="auto"/>
          <w:sz w:val="22"/>
          <w:szCs w:val="22"/>
        </w:rPr>
        <w:t>5.217</w:t>
      </w:r>
      <w:r w:rsidR="00852141">
        <w:rPr>
          <w:rFonts w:eastAsia="Arial"/>
          <w:color w:val="auto"/>
          <w:sz w:val="22"/>
          <w:szCs w:val="22"/>
        </w:rPr>
        <w:t xml:space="preserve"> στο τέλος του </w:t>
      </w:r>
      <w:r w:rsidR="009731EB">
        <w:rPr>
          <w:rFonts w:eastAsia="Arial"/>
          <w:color w:val="auto"/>
          <w:sz w:val="22"/>
          <w:szCs w:val="22"/>
        </w:rPr>
        <w:t>Α</w:t>
      </w:r>
      <w:r w:rsidR="00852141">
        <w:rPr>
          <w:rFonts w:eastAsia="Arial"/>
          <w:color w:val="auto"/>
          <w:sz w:val="22"/>
          <w:szCs w:val="22"/>
        </w:rPr>
        <w:t>’ Εξαμήνου 202</w:t>
      </w:r>
      <w:r w:rsidR="009731EB">
        <w:rPr>
          <w:rFonts w:eastAsia="Arial"/>
          <w:color w:val="auto"/>
          <w:sz w:val="22"/>
          <w:szCs w:val="22"/>
        </w:rPr>
        <w:t>5</w:t>
      </w:r>
      <w:r w:rsidRPr="007C5037">
        <w:rPr>
          <w:rFonts w:eastAsia="Arial"/>
          <w:color w:val="auto"/>
          <w:sz w:val="22"/>
          <w:szCs w:val="22"/>
        </w:rPr>
        <w:t xml:space="preserve">. </w:t>
      </w:r>
    </w:p>
    <w:p w14:paraId="1B47987A" w14:textId="77777777" w:rsidR="001659E7" w:rsidRPr="007C5037" w:rsidRDefault="001659E7" w:rsidP="00B736C7">
      <w:pPr>
        <w:pStyle w:val="Default"/>
        <w:contextualSpacing/>
        <w:jc w:val="both"/>
        <w:rPr>
          <w:rFonts w:eastAsia="Arial"/>
          <w:color w:val="auto"/>
          <w:sz w:val="22"/>
          <w:szCs w:val="22"/>
        </w:rPr>
      </w:pPr>
    </w:p>
    <w:p w14:paraId="51AEF487" w14:textId="55CE2D8F" w:rsidR="00AA7E2C" w:rsidRPr="00791743" w:rsidRDefault="00AA7E2C" w:rsidP="00B736C7">
      <w:pPr>
        <w:pStyle w:val="Default"/>
        <w:numPr>
          <w:ilvl w:val="0"/>
          <w:numId w:val="3"/>
        </w:numPr>
        <w:ind w:left="0"/>
        <w:contextualSpacing/>
        <w:jc w:val="both"/>
        <w:rPr>
          <w:color w:val="auto"/>
          <w:sz w:val="22"/>
          <w:szCs w:val="22"/>
        </w:rPr>
      </w:pPr>
      <w:r w:rsidRPr="00791743">
        <w:rPr>
          <w:rFonts w:eastAsia="Arial"/>
          <w:color w:val="auto"/>
          <w:sz w:val="22"/>
          <w:szCs w:val="22"/>
        </w:rPr>
        <w:t xml:space="preserve">Τα στοιχεία ενεργητικού στο τέλος του </w:t>
      </w:r>
      <w:r w:rsidR="009731EB" w:rsidRPr="00791743">
        <w:rPr>
          <w:rFonts w:eastAsia="Arial"/>
          <w:color w:val="auto"/>
          <w:sz w:val="22"/>
          <w:szCs w:val="22"/>
        </w:rPr>
        <w:t>Β</w:t>
      </w:r>
      <w:r w:rsidR="00BF2A1D" w:rsidRPr="00791743">
        <w:rPr>
          <w:rFonts w:eastAsia="Arial"/>
          <w:color w:val="auto"/>
          <w:sz w:val="22"/>
          <w:szCs w:val="22"/>
        </w:rPr>
        <w:t>’ Εξαμήνου</w:t>
      </w:r>
      <w:r w:rsidR="000359E6" w:rsidRPr="00791743">
        <w:rPr>
          <w:rFonts w:eastAsia="Arial"/>
          <w:color w:val="auto"/>
          <w:sz w:val="22"/>
          <w:szCs w:val="22"/>
        </w:rPr>
        <w:t xml:space="preserve"> </w:t>
      </w:r>
      <w:r w:rsidRPr="00791743">
        <w:rPr>
          <w:rFonts w:eastAsia="Arial"/>
          <w:color w:val="auto"/>
          <w:sz w:val="22"/>
          <w:szCs w:val="22"/>
        </w:rPr>
        <w:t>202</w:t>
      </w:r>
      <w:r w:rsidR="00A46780" w:rsidRPr="00791743">
        <w:rPr>
          <w:rFonts w:eastAsia="Arial"/>
          <w:color w:val="auto"/>
          <w:sz w:val="22"/>
          <w:szCs w:val="22"/>
        </w:rPr>
        <w:t>5</w:t>
      </w:r>
      <w:r w:rsidRPr="00791743">
        <w:rPr>
          <w:rFonts w:eastAsia="Arial"/>
          <w:color w:val="auto"/>
          <w:sz w:val="22"/>
          <w:szCs w:val="22"/>
        </w:rPr>
        <w:t xml:space="preserve"> διαμορφώθηκαν σε €</w:t>
      </w:r>
      <w:r w:rsidR="00A46780" w:rsidRPr="00791743">
        <w:rPr>
          <w:rFonts w:eastAsia="Arial"/>
          <w:color w:val="auto"/>
          <w:sz w:val="22"/>
          <w:szCs w:val="22"/>
        </w:rPr>
        <w:t>5</w:t>
      </w:r>
      <w:r w:rsidRPr="00791743">
        <w:rPr>
          <w:rFonts w:eastAsia="Arial"/>
          <w:color w:val="auto"/>
          <w:sz w:val="22"/>
          <w:szCs w:val="22"/>
        </w:rPr>
        <w:t>.</w:t>
      </w:r>
      <w:r w:rsidR="008C2A7D" w:rsidRPr="00791743">
        <w:rPr>
          <w:rFonts w:eastAsia="Arial"/>
          <w:color w:val="auto"/>
          <w:sz w:val="22"/>
          <w:szCs w:val="22"/>
        </w:rPr>
        <w:t>520</w:t>
      </w:r>
      <w:r w:rsidRPr="00791743">
        <w:rPr>
          <w:rFonts w:eastAsia="Arial"/>
          <w:color w:val="auto"/>
          <w:sz w:val="22"/>
          <w:szCs w:val="22"/>
        </w:rPr>
        <w:t>εκ. σε ονομαστική αξία και περιλαμβάνουν μετρητά και ρευστά περιουσιακά στοιχεία ύψους €</w:t>
      </w:r>
      <w:r w:rsidR="004328D9" w:rsidRPr="00791743">
        <w:rPr>
          <w:rFonts w:eastAsia="Arial"/>
          <w:color w:val="auto"/>
          <w:sz w:val="22"/>
          <w:szCs w:val="22"/>
        </w:rPr>
        <w:t>1</w:t>
      </w:r>
      <w:r w:rsidR="008C2A7D" w:rsidRPr="00791743">
        <w:rPr>
          <w:rFonts w:eastAsia="Arial"/>
          <w:color w:val="auto"/>
          <w:sz w:val="22"/>
          <w:szCs w:val="22"/>
        </w:rPr>
        <w:t>85</w:t>
      </w:r>
      <w:r w:rsidRPr="00791743">
        <w:rPr>
          <w:rFonts w:eastAsia="Arial"/>
          <w:color w:val="auto"/>
          <w:sz w:val="22"/>
          <w:szCs w:val="22"/>
        </w:rPr>
        <w:t>εκ., ακίνητη περιουσία συνολικής αξίας €</w:t>
      </w:r>
      <w:r w:rsidR="00012646" w:rsidRPr="00791743">
        <w:rPr>
          <w:rFonts w:eastAsia="Arial"/>
          <w:color w:val="auto"/>
          <w:sz w:val="22"/>
          <w:szCs w:val="22"/>
        </w:rPr>
        <w:t>3</w:t>
      </w:r>
      <w:r w:rsidR="008C2A7D" w:rsidRPr="00791743">
        <w:rPr>
          <w:rFonts w:eastAsia="Arial"/>
          <w:color w:val="auto"/>
          <w:sz w:val="22"/>
          <w:szCs w:val="22"/>
        </w:rPr>
        <w:t>8</w:t>
      </w:r>
      <w:r w:rsidR="00A46780" w:rsidRPr="00791743">
        <w:rPr>
          <w:rFonts w:eastAsia="Arial"/>
          <w:color w:val="auto"/>
          <w:sz w:val="22"/>
          <w:szCs w:val="22"/>
        </w:rPr>
        <w:t>2</w:t>
      </w:r>
      <w:r w:rsidRPr="00791743">
        <w:rPr>
          <w:rFonts w:eastAsia="Arial"/>
          <w:color w:val="auto"/>
          <w:sz w:val="22"/>
          <w:szCs w:val="22"/>
        </w:rPr>
        <w:t>εκ. και εξυπηρετούμενες χορηγήσεις €6</w:t>
      </w:r>
      <w:r w:rsidR="008C2A7D" w:rsidRPr="00791743">
        <w:rPr>
          <w:rFonts w:eastAsia="Arial"/>
          <w:color w:val="auto"/>
          <w:sz w:val="22"/>
          <w:szCs w:val="22"/>
        </w:rPr>
        <w:t>21</w:t>
      </w:r>
      <w:r w:rsidRPr="00791743">
        <w:rPr>
          <w:rFonts w:eastAsia="Arial"/>
          <w:color w:val="auto"/>
          <w:sz w:val="22"/>
          <w:szCs w:val="22"/>
        </w:rPr>
        <w:t xml:space="preserve">εκ. Η συνολική απομόχλευση </w:t>
      </w:r>
      <w:r w:rsidR="00F727B3" w:rsidRPr="00791743">
        <w:rPr>
          <w:rFonts w:eastAsia="Arial"/>
          <w:color w:val="auto"/>
          <w:sz w:val="22"/>
          <w:szCs w:val="22"/>
        </w:rPr>
        <w:t xml:space="preserve">στοιχείων ενεργητικού </w:t>
      </w:r>
      <w:r w:rsidRPr="00791743">
        <w:rPr>
          <w:rFonts w:eastAsia="Arial"/>
          <w:color w:val="auto"/>
          <w:sz w:val="22"/>
          <w:szCs w:val="22"/>
        </w:rPr>
        <w:t>από την έναρξη των εργασιών από 1</w:t>
      </w:r>
      <w:r w:rsidRPr="00791743">
        <w:rPr>
          <w:rFonts w:eastAsia="Arial"/>
          <w:color w:val="auto"/>
          <w:sz w:val="22"/>
          <w:szCs w:val="22"/>
          <w:vertAlign w:val="superscript"/>
        </w:rPr>
        <w:t>η</w:t>
      </w:r>
      <w:r w:rsidRPr="00791743">
        <w:rPr>
          <w:rFonts w:eastAsia="Arial"/>
          <w:color w:val="auto"/>
          <w:sz w:val="22"/>
          <w:szCs w:val="22"/>
        </w:rPr>
        <w:t xml:space="preserve"> Σεπτεμβρίου 2018 μέχρι την 3</w:t>
      </w:r>
      <w:r w:rsidR="009731EB" w:rsidRPr="00791743">
        <w:rPr>
          <w:rFonts w:eastAsia="Arial"/>
          <w:color w:val="auto"/>
          <w:sz w:val="22"/>
          <w:szCs w:val="22"/>
        </w:rPr>
        <w:t>1</w:t>
      </w:r>
      <w:r w:rsidRPr="00791743">
        <w:rPr>
          <w:rFonts w:eastAsia="Arial"/>
          <w:color w:val="auto"/>
          <w:sz w:val="22"/>
          <w:szCs w:val="22"/>
          <w:vertAlign w:val="superscript"/>
        </w:rPr>
        <w:t>η</w:t>
      </w:r>
      <w:r w:rsidRPr="00791743">
        <w:rPr>
          <w:rFonts w:eastAsia="Arial"/>
          <w:color w:val="auto"/>
          <w:sz w:val="22"/>
          <w:szCs w:val="22"/>
        </w:rPr>
        <w:t xml:space="preserve"> </w:t>
      </w:r>
      <w:r w:rsidR="009731EB" w:rsidRPr="00791743">
        <w:rPr>
          <w:rFonts w:eastAsia="Arial"/>
          <w:color w:val="auto"/>
          <w:sz w:val="22"/>
          <w:szCs w:val="22"/>
        </w:rPr>
        <w:t>Δεκεμβρίου</w:t>
      </w:r>
      <w:r w:rsidR="00012646" w:rsidRPr="00791743">
        <w:rPr>
          <w:rFonts w:eastAsia="Arial"/>
          <w:color w:val="auto"/>
          <w:sz w:val="22"/>
          <w:szCs w:val="22"/>
        </w:rPr>
        <w:t xml:space="preserve"> </w:t>
      </w:r>
      <w:r w:rsidRPr="00791743">
        <w:rPr>
          <w:rFonts w:eastAsia="Arial"/>
          <w:color w:val="auto"/>
          <w:sz w:val="22"/>
          <w:szCs w:val="22"/>
        </w:rPr>
        <w:t>202</w:t>
      </w:r>
      <w:r w:rsidR="00A46780" w:rsidRPr="00791743">
        <w:rPr>
          <w:rFonts w:eastAsia="Arial"/>
          <w:color w:val="auto"/>
          <w:sz w:val="22"/>
          <w:szCs w:val="22"/>
        </w:rPr>
        <w:t>5</w:t>
      </w:r>
      <w:r w:rsidRPr="00791743">
        <w:rPr>
          <w:rFonts w:eastAsia="Arial"/>
          <w:color w:val="auto"/>
          <w:sz w:val="22"/>
          <w:szCs w:val="22"/>
        </w:rPr>
        <w:t xml:space="preserve"> ανήλθε στο </w:t>
      </w:r>
      <w:r w:rsidR="008C2A7D" w:rsidRPr="00791743">
        <w:rPr>
          <w:rFonts w:eastAsia="Arial"/>
          <w:color w:val="auto"/>
          <w:sz w:val="22"/>
          <w:szCs w:val="22"/>
        </w:rPr>
        <w:t>33</w:t>
      </w:r>
      <w:r w:rsidRPr="00791743">
        <w:rPr>
          <w:rFonts w:eastAsia="Arial"/>
          <w:color w:val="auto"/>
          <w:sz w:val="22"/>
          <w:szCs w:val="22"/>
        </w:rPr>
        <w:t>,</w:t>
      </w:r>
      <w:r w:rsidR="008C2A7D" w:rsidRPr="00791743">
        <w:rPr>
          <w:rFonts w:eastAsia="Arial"/>
          <w:color w:val="auto"/>
          <w:sz w:val="22"/>
          <w:szCs w:val="22"/>
        </w:rPr>
        <w:t>1</w:t>
      </w:r>
      <w:r w:rsidRPr="00791743">
        <w:rPr>
          <w:rFonts w:eastAsia="Arial"/>
          <w:color w:val="auto"/>
          <w:sz w:val="22"/>
          <w:szCs w:val="22"/>
        </w:rPr>
        <w:t>% και εξαιρουμένων των συμβατικών τόκων δανείων σε</w:t>
      </w:r>
      <w:r w:rsidR="00791743" w:rsidRPr="00640025">
        <w:rPr>
          <w:rFonts w:eastAsia="Arial"/>
          <w:color w:val="auto"/>
          <w:sz w:val="22"/>
          <w:szCs w:val="22"/>
        </w:rPr>
        <w:t xml:space="preserve"> 51,4</w:t>
      </w:r>
      <w:r w:rsidRPr="00791743">
        <w:rPr>
          <w:rFonts w:eastAsia="Arial"/>
          <w:color w:val="auto"/>
          <w:sz w:val="22"/>
          <w:szCs w:val="22"/>
        </w:rPr>
        <w:t xml:space="preserve"> %. </w:t>
      </w:r>
    </w:p>
    <w:p w14:paraId="3FE7C6E5" w14:textId="77777777" w:rsidR="00AA7E2C" w:rsidRPr="007C5037" w:rsidRDefault="00AA7E2C" w:rsidP="00B736C7">
      <w:pPr>
        <w:pStyle w:val="Default"/>
        <w:jc w:val="both"/>
        <w:rPr>
          <w:rFonts w:eastAsia="Arial"/>
          <w:color w:val="auto"/>
          <w:sz w:val="22"/>
          <w:szCs w:val="22"/>
        </w:rPr>
      </w:pPr>
    </w:p>
    <w:p w14:paraId="33A328E2" w14:textId="00543B61" w:rsidR="00F33FAD" w:rsidRPr="00640025" w:rsidRDefault="00BF39F6" w:rsidP="00640025">
      <w:pPr>
        <w:pStyle w:val="Default"/>
        <w:numPr>
          <w:ilvl w:val="0"/>
          <w:numId w:val="3"/>
        </w:numPr>
        <w:ind w:left="0"/>
        <w:contextualSpacing/>
        <w:jc w:val="both"/>
        <w:rPr>
          <w:rFonts w:eastAsia="Arial"/>
          <w:sz w:val="22"/>
          <w:szCs w:val="22"/>
        </w:rPr>
      </w:pPr>
      <w:r>
        <w:rPr>
          <w:rFonts w:eastAsia="Arial"/>
          <w:color w:val="auto"/>
          <w:sz w:val="22"/>
          <w:szCs w:val="22"/>
        </w:rPr>
        <w:t>Τ</w:t>
      </w:r>
      <w:r w:rsidR="00AA7E2C" w:rsidRPr="00640025">
        <w:rPr>
          <w:rFonts w:eastAsia="Arial"/>
          <w:color w:val="auto"/>
          <w:sz w:val="22"/>
          <w:szCs w:val="22"/>
        </w:rPr>
        <w:t>ο Σχέδιο Εγγύησης Δανείων (Asset Protection Scheme) προς την</w:t>
      </w:r>
      <w:r w:rsidR="00F33FAD" w:rsidRPr="00640025">
        <w:rPr>
          <w:rFonts w:eastAsia="Arial"/>
          <w:color w:val="auto"/>
          <w:sz w:val="22"/>
          <w:szCs w:val="22"/>
        </w:rPr>
        <w:t xml:space="preserve"> πρώην</w:t>
      </w:r>
      <w:r w:rsidR="00AA7E2C" w:rsidRPr="00640025">
        <w:rPr>
          <w:rFonts w:eastAsia="Arial"/>
          <w:color w:val="auto"/>
          <w:sz w:val="22"/>
          <w:szCs w:val="22"/>
        </w:rPr>
        <w:t xml:space="preserve"> Ελληνική Τράπεζα,</w:t>
      </w:r>
      <w:r w:rsidR="00F33FAD" w:rsidRPr="00640025">
        <w:rPr>
          <w:rFonts w:eastAsia="Arial"/>
          <w:color w:val="auto"/>
          <w:sz w:val="22"/>
          <w:szCs w:val="22"/>
        </w:rPr>
        <w:t xml:space="preserve"> </w:t>
      </w:r>
      <w:r w:rsidRPr="00411165">
        <w:rPr>
          <w:rFonts w:eastAsia="Arial"/>
          <w:color w:val="auto"/>
          <w:sz w:val="22"/>
          <w:szCs w:val="22"/>
        </w:rPr>
        <w:t xml:space="preserve">έχει τερματιστεί </w:t>
      </w:r>
      <w:r w:rsidR="00F33FAD" w:rsidRPr="00640025">
        <w:rPr>
          <w:rFonts w:eastAsia="Arial"/>
          <w:color w:val="auto"/>
          <w:sz w:val="22"/>
          <w:szCs w:val="22"/>
        </w:rPr>
        <w:t xml:space="preserve">με ημερομηνία αναφοράς 30 Σεπτεμβρίου 2024. </w:t>
      </w:r>
      <w:r w:rsidR="009F2B25">
        <w:rPr>
          <w:rFonts w:eastAsia="Arial"/>
          <w:color w:val="auto"/>
          <w:sz w:val="22"/>
          <w:szCs w:val="22"/>
        </w:rPr>
        <w:t>Το</w:t>
      </w:r>
      <w:r w:rsidR="00F33FAD" w:rsidRPr="00640025">
        <w:rPr>
          <w:rFonts w:eastAsia="Arial"/>
          <w:color w:val="auto"/>
          <w:sz w:val="22"/>
          <w:szCs w:val="22"/>
        </w:rPr>
        <w:t xml:space="preserve"> Σχέδιο παρείχε προστασία στην πρώην Ελληνική Τράπεζα για το 90% των πιστωτικών ζημιών σε δάνεια με συμβατική αξία €2.608εκ. και τιμή αναφοράς €2.271εκ. κατά την έναρξη του Σχεδίου (τιμή αναφοράς είναι το ποσό που καλυπτόταν από το Σχέδιο). Η διάρκεια του Σχεδίου ήταν μέχρι το 2030. Η συμβατική αξία των περιουσιακών στοιχείων που καλύπτονταν από το Σχέδιο στις 30 Σεπτεμβρίου 2024 ανερχόταν σε €1.206εκ., ενώ η τιμή αναφοράς σε €920εκ.</w:t>
      </w:r>
    </w:p>
    <w:p w14:paraId="28ABC02F" w14:textId="77777777" w:rsidR="00F33FAD" w:rsidRPr="0060154A" w:rsidRDefault="00F33FAD" w:rsidP="00640025">
      <w:pPr>
        <w:pStyle w:val="Default"/>
        <w:adjustRightInd/>
        <w:contextualSpacing/>
        <w:jc w:val="both"/>
        <w:rPr>
          <w:color w:val="auto"/>
          <w:sz w:val="22"/>
          <w:szCs w:val="22"/>
        </w:rPr>
      </w:pPr>
    </w:p>
    <w:p w14:paraId="76CFA4D1" w14:textId="18FE4398" w:rsidR="00B6675C" w:rsidRDefault="00AA7E2C">
      <w:pPr>
        <w:pStyle w:val="Default"/>
        <w:adjustRightInd/>
        <w:contextualSpacing/>
        <w:jc w:val="both"/>
        <w:rPr>
          <w:color w:val="auto"/>
          <w:sz w:val="22"/>
          <w:szCs w:val="22"/>
        </w:rPr>
      </w:pPr>
      <w:r w:rsidRPr="0060154A">
        <w:rPr>
          <w:color w:val="auto"/>
          <w:sz w:val="22"/>
          <w:szCs w:val="22"/>
        </w:rPr>
        <w:t xml:space="preserve">Στα πλαίσια του Σχεδίου έχουν </w:t>
      </w:r>
      <w:r w:rsidR="00F33FAD">
        <w:rPr>
          <w:color w:val="auto"/>
          <w:sz w:val="22"/>
          <w:szCs w:val="22"/>
        </w:rPr>
        <w:t xml:space="preserve">γίνει συνολικές πληρωμές για απαιτήσεις στην πρώην </w:t>
      </w:r>
      <w:r w:rsidRPr="0060154A">
        <w:rPr>
          <w:color w:val="auto"/>
          <w:sz w:val="22"/>
          <w:szCs w:val="22"/>
        </w:rPr>
        <w:t xml:space="preserve"> Ελληνική Τράπεζα ύψους €10</w:t>
      </w:r>
      <w:r w:rsidR="00F33FAD">
        <w:rPr>
          <w:color w:val="auto"/>
          <w:sz w:val="22"/>
          <w:szCs w:val="22"/>
        </w:rPr>
        <w:t>2</w:t>
      </w:r>
      <w:r w:rsidRPr="0060154A">
        <w:rPr>
          <w:color w:val="auto"/>
          <w:sz w:val="22"/>
          <w:szCs w:val="22"/>
        </w:rPr>
        <w:t>,</w:t>
      </w:r>
      <w:r w:rsidR="00215245" w:rsidRPr="00CB0CCC">
        <w:rPr>
          <w:color w:val="auto"/>
          <w:sz w:val="22"/>
          <w:szCs w:val="22"/>
        </w:rPr>
        <w:t>5</w:t>
      </w:r>
      <w:r w:rsidRPr="0060154A">
        <w:rPr>
          <w:color w:val="auto"/>
          <w:sz w:val="22"/>
          <w:szCs w:val="22"/>
        </w:rPr>
        <w:t>εκ.</w:t>
      </w:r>
      <w:r w:rsidR="00F33FAD">
        <w:rPr>
          <w:color w:val="auto"/>
          <w:sz w:val="22"/>
          <w:szCs w:val="22"/>
        </w:rPr>
        <w:t xml:space="preserve"> ενώ οι συνολικές </w:t>
      </w:r>
      <w:r w:rsidRPr="009F2B25">
        <w:rPr>
          <w:color w:val="auto"/>
          <w:sz w:val="22"/>
          <w:szCs w:val="22"/>
        </w:rPr>
        <w:t>πληρωμές</w:t>
      </w:r>
      <w:r w:rsidRPr="0060154A">
        <w:rPr>
          <w:color w:val="auto"/>
          <w:sz w:val="22"/>
          <w:szCs w:val="22"/>
        </w:rPr>
        <w:t xml:space="preserve"> της </w:t>
      </w:r>
      <w:r w:rsidR="00F33FAD">
        <w:rPr>
          <w:color w:val="auto"/>
          <w:sz w:val="22"/>
          <w:szCs w:val="22"/>
        </w:rPr>
        <w:t xml:space="preserve">πρώην </w:t>
      </w:r>
      <w:r w:rsidRPr="0060154A">
        <w:rPr>
          <w:color w:val="auto"/>
          <w:sz w:val="22"/>
          <w:szCs w:val="22"/>
        </w:rPr>
        <w:t xml:space="preserve">Ελληνικής Τράπεζας προς την Κυπριακή Δημοκρατία ως εγγυήτριας του Σχεδίου </w:t>
      </w:r>
      <w:r w:rsidR="004444AD" w:rsidRPr="0060154A">
        <w:rPr>
          <w:color w:val="auto"/>
          <w:sz w:val="22"/>
          <w:szCs w:val="22"/>
        </w:rPr>
        <w:t>αν</w:t>
      </w:r>
      <w:r w:rsidR="004444AD">
        <w:rPr>
          <w:color w:val="auto"/>
          <w:sz w:val="22"/>
          <w:szCs w:val="22"/>
        </w:rPr>
        <w:t>έρχονται</w:t>
      </w:r>
      <w:r w:rsidRPr="0060154A">
        <w:rPr>
          <w:color w:val="auto"/>
          <w:sz w:val="22"/>
          <w:szCs w:val="22"/>
        </w:rPr>
        <w:t xml:space="preserve"> σωρευτικά</w:t>
      </w:r>
      <w:r w:rsidR="004328D9" w:rsidRPr="0060154A">
        <w:rPr>
          <w:rFonts w:eastAsia="Arial"/>
          <w:color w:val="auto"/>
          <w:sz w:val="22"/>
          <w:szCs w:val="22"/>
        </w:rPr>
        <w:t xml:space="preserve"> </w:t>
      </w:r>
      <w:r w:rsidR="00AD03EF" w:rsidRPr="00791743">
        <w:rPr>
          <w:color w:val="auto"/>
          <w:sz w:val="22"/>
          <w:szCs w:val="22"/>
        </w:rPr>
        <w:t>στα €4</w:t>
      </w:r>
      <w:r w:rsidR="00C2168B" w:rsidRPr="00CB0CCC">
        <w:rPr>
          <w:color w:val="auto"/>
          <w:sz w:val="22"/>
          <w:szCs w:val="22"/>
        </w:rPr>
        <w:t>6</w:t>
      </w:r>
      <w:r w:rsidR="00AD03EF" w:rsidRPr="00791743">
        <w:rPr>
          <w:color w:val="auto"/>
          <w:sz w:val="22"/>
          <w:szCs w:val="22"/>
        </w:rPr>
        <w:t>,1εκ.</w:t>
      </w:r>
      <w:r w:rsidR="00021A56">
        <w:rPr>
          <w:color w:val="auto"/>
          <w:sz w:val="22"/>
          <w:szCs w:val="22"/>
        </w:rPr>
        <w:t xml:space="preserve"> </w:t>
      </w:r>
      <w:r w:rsidR="0060154A">
        <w:rPr>
          <w:color w:val="auto"/>
          <w:sz w:val="22"/>
          <w:szCs w:val="22"/>
        </w:rPr>
        <w:t xml:space="preserve"> </w:t>
      </w:r>
    </w:p>
    <w:p w14:paraId="57131C99" w14:textId="77777777" w:rsidR="00B6675C" w:rsidRDefault="00B6675C">
      <w:pPr>
        <w:pStyle w:val="Default"/>
        <w:adjustRightInd/>
        <w:contextualSpacing/>
        <w:jc w:val="both"/>
        <w:rPr>
          <w:color w:val="auto"/>
          <w:sz w:val="22"/>
          <w:szCs w:val="22"/>
        </w:rPr>
      </w:pPr>
    </w:p>
    <w:p w14:paraId="1678F2EB" w14:textId="19E4FCBF" w:rsidR="00AA7E2C" w:rsidRPr="00BF39F6" w:rsidRDefault="00B6675C" w:rsidP="00640025">
      <w:pPr>
        <w:pStyle w:val="Default"/>
        <w:adjustRightInd/>
        <w:contextualSpacing/>
        <w:jc w:val="both"/>
        <w:rPr>
          <w:color w:val="auto"/>
          <w:sz w:val="22"/>
          <w:szCs w:val="22"/>
        </w:rPr>
      </w:pPr>
      <w:r>
        <w:rPr>
          <w:color w:val="auto"/>
          <w:sz w:val="22"/>
          <w:szCs w:val="22"/>
        </w:rPr>
        <w:t>Εντός του Β’ Εξαμήνου 2025 καταβλήθηκε ποσό €27εκ</w:t>
      </w:r>
      <w:r w:rsidR="00670441">
        <w:rPr>
          <w:color w:val="auto"/>
          <w:sz w:val="22"/>
          <w:szCs w:val="22"/>
        </w:rPr>
        <w:t>.</w:t>
      </w:r>
      <w:r>
        <w:rPr>
          <w:color w:val="auto"/>
          <w:sz w:val="22"/>
          <w:szCs w:val="22"/>
        </w:rPr>
        <w:t xml:space="preserve"> έναντι  της τιμής </w:t>
      </w:r>
      <w:r w:rsidR="00670441">
        <w:rPr>
          <w:color w:val="auto"/>
          <w:sz w:val="22"/>
          <w:szCs w:val="22"/>
        </w:rPr>
        <w:t>αγοράς του χαρτοφυλακίου μη-εξυπηρετούμενων δανείων που ήταν ενταγμένα στο Σχέδιο Εγγύησης Δανείων στις 30 Σεπτεμβρίου 2024.</w:t>
      </w:r>
    </w:p>
    <w:p w14:paraId="310D6ECB" w14:textId="77777777" w:rsidR="00170001" w:rsidRPr="00170001" w:rsidRDefault="00170001" w:rsidP="00B736C7">
      <w:pPr>
        <w:pStyle w:val="Default"/>
        <w:jc w:val="both"/>
        <w:rPr>
          <w:rFonts w:eastAsia="Arial"/>
          <w:color w:val="auto"/>
          <w:sz w:val="22"/>
          <w:szCs w:val="22"/>
        </w:rPr>
      </w:pPr>
    </w:p>
    <w:p w14:paraId="1F7662B1" w14:textId="621D55E7" w:rsidR="00170001" w:rsidRPr="00FE09E2" w:rsidRDefault="00AA7E2C" w:rsidP="00170001">
      <w:pPr>
        <w:pStyle w:val="Default"/>
        <w:numPr>
          <w:ilvl w:val="0"/>
          <w:numId w:val="3"/>
        </w:numPr>
        <w:ind w:left="0"/>
        <w:contextualSpacing/>
        <w:jc w:val="both"/>
        <w:rPr>
          <w:rFonts w:eastAsia="Arial"/>
          <w:color w:val="auto"/>
          <w:sz w:val="22"/>
          <w:szCs w:val="22"/>
        </w:rPr>
      </w:pPr>
      <w:r w:rsidRPr="007C5037">
        <w:rPr>
          <w:rFonts w:eastAsia="Arial"/>
          <w:color w:val="auto"/>
          <w:sz w:val="22"/>
          <w:szCs w:val="22"/>
        </w:rPr>
        <w:t xml:space="preserve">Οι καθαρές ταμειακές ροές, μετά την εξόφληση των δαπανών και υποχρεώσεων του </w:t>
      </w:r>
      <w:r w:rsidR="00170001">
        <w:rPr>
          <w:rFonts w:eastAsia="Arial"/>
          <w:color w:val="auto"/>
          <w:sz w:val="22"/>
          <w:szCs w:val="22"/>
          <w:lang w:val="en-US"/>
        </w:rPr>
        <w:t>B</w:t>
      </w:r>
      <w:r w:rsidR="00BF2A1D">
        <w:rPr>
          <w:rFonts w:eastAsia="Arial"/>
          <w:color w:val="auto"/>
          <w:sz w:val="22"/>
          <w:szCs w:val="22"/>
        </w:rPr>
        <w:t>’ Εξαμήνου</w:t>
      </w:r>
      <w:r w:rsidR="000359E6">
        <w:rPr>
          <w:rFonts w:eastAsia="Arial"/>
          <w:color w:val="auto"/>
          <w:sz w:val="22"/>
          <w:szCs w:val="22"/>
        </w:rPr>
        <w:t xml:space="preserve"> </w:t>
      </w:r>
      <w:r w:rsidRPr="007C5037">
        <w:rPr>
          <w:rFonts w:eastAsia="Arial"/>
          <w:color w:val="auto"/>
          <w:sz w:val="22"/>
          <w:szCs w:val="22"/>
        </w:rPr>
        <w:t>202</w:t>
      </w:r>
      <w:r w:rsidR="00FE09E2">
        <w:rPr>
          <w:rFonts w:eastAsia="Arial"/>
          <w:color w:val="auto"/>
          <w:sz w:val="22"/>
          <w:szCs w:val="22"/>
        </w:rPr>
        <w:t>5</w:t>
      </w:r>
      <w:r w:rsidR="00965884">
        <w:rPr>
          <w:rFonts w:eastAsia="Arial"/>
          <w:color w:val="auto"/>
          <w:sz w:val="22"/>
          <w:szCs w:val="22"/>
        </w:rPr>
        <w:t xml:space="preserve">, συμπεριλαμβανομένου υποχρεώσεων σε σχέση με την Συναλλαγή με την </w:t>
      </w:r>
      <w:r w:rsidR="00965884">
        <w:rPr>
          <w:rFonts w:eastAsia="Arial"/>
          <w:color w:val="auto"/>
          <w:sz w:val="22"/>
          <w:szCs w:val="22"/>
          <w:lang w:val="en-US"/>
        </w:rPr>
        <w:t>Eurobank</w:t>
      </w:r>
      <w:r w:rsidR="00965884" w:rsidRPr="00640025">
        <w:rPr>
          <w:rFonts w:eastAsia="Arial"/>
          <w:color w:val="auto"/>
          <w:sz w:val="22"/>
          <w:szCs w:val="22"/>
        </w:rPr>
        <w:t xml:space="preserve"> </w:t>
      </w:r>
      <w:r w:rsidR="00965884">
        <w:rPr>
          <w:rFonts w:eastAsia="Arial"/>
          <w:color w:val="auto"/>
          <w:sz w:val="22"/>
          <w:szCs w:val="22"/>
        </w:rPr>
        <w:t xml:space="preserve">Κύπρου, </w:t>
      </w:r>
      <w:r w:rsidRPr="007C5037">
        <w:rPr>
          <w:rFonts w:eastAsia="Arial"/>
          <w:color w:val="auto"/>
          <w:sz w:val="22"/>
          <w:szCs w:val="22"/>
        </w:rPr>
        <w:t xml:space="preserve"> ανήλθαν στα €</w:t>
      </w:r>
      <w:r w:rsidR="00170001">
        <w:rPr>
          <w:rFonts w:eastAsia="Arial"/>
          <w:color w:val="auto"/>
          <w:sz w:val="22"/>
          <w:szCs w:val="22"/>
        </w:rPr>
        <w:t>95</w:t>
      </w:r>
      <w:r w:rsidRPr="007C5037">
        <w:rPr>
          <w:rFonts w:eastAsia="Arial"/>
          <w:color w:val="auto"/>
          <w:sz w:val="22"/>
          <w:szCs w:val="22"/>
        </w:rPr>
        <w:t>,</w:t>
      </w:r>
      <w:r w:rsidR="00170001">
        <w:rPr>
          <w:rFonts w:eastAsia="Arial"/>
          <w:color w:val="auto"/>
          <w:sz w:val="22"/>
          <w:szCs w:val="22"/>
        </w:rPr>
        <w:t>5</w:t>
      </w:r>
      <w:r w:rsidRPr="007C5037">
        <w:rPr>
          <w:rFonts w:eastAsia="Arial"/>
          <w:color w:val="auto"/>
          <w:sz w:val="22"/>
          <w:szCs w:val="22"/>
        </w:rPr>
        <w:t xml:space="preserve">εκ., σημειώνοντας </w:t>
      </w:r>
      <w:r w:rsidR="000359E6">
        <w:rPr>
          <w:rFonts w:eastAsia="Arial"/>
          <w:color w:val="auto"/>
          <w:sz w:val="22"/>
          <w:szCs w:val="22"/>
        </w:rPr>
        <w:t>μείωση</w:t>
      </w:r>
      <w:r w:rsidRPr="007C5037">
        <w:rPr>
          <w:rFonts w:eastAsia="Arial"/>
          <w:color w:val="auto"/>
          <w:sz w:val="22"/>
          <w:szCs w:val="22"/>
        </w:rPr>
        <w:t xml:space="preserve"> </w:t>
      </w:r>
      <w:r w:rsidR="00170001">
        <w:rPr>
          <w:rFonts w:eastAsia="Arial"/>
          <w:color w:val="auto"/>
          <w:sz w:val="22"/>
          <w:szCs w:val="22"/>
        </w:rPr>
        <w:t>35</w:t>
      </w:r>
      <w:r w:rsidRPr="007C5037">
        <w:rPr>
          <w:rFonts w:eastAsia="Arial"/>
          <w:color w:val="auto"/>
          <w:sz w:val="22"/>
          <w:szCs w:val="22"/>
        </w:rPr>
        <w:t>,</w:t>
      </w:r>
      <w:r w:rsidR="00170001">
        <w:rPr>
          <w:rFonts w:eastAsia="Arial"/>
          <w:color w:val="auto"/>
          <w:sz w:val="22"/>
          <w:szCs w:val="22"/>
        </w:rPr>
        <w:t>9</w:t>
      </w:r>
      <w:r w:rsidRPr="007C5037">
        <w:rPr>
          <w:rFonts w:eastAsia="Arial"/>
          <w:color w:val="auto"/>
          <w:sz w:val="22"/>
          <w:szCs w:val="22"/>
        </w:rPr>
        <w:t>% έναντι €</w:t>
      </w:r>
      <w:r w:rsidR="000359E6">
        <w:rPr>
          <w:rFonts w:eastAsia="Arial"/>
          <w:color w:val="auto"/>
          <w:sz w:val="22"/>
          <w:szCs w:val="22"/>
        </w:rPr>
        <w:t>1</w:t>
      </w:r>
      <w:r w:rsidR="00170001">
        <w:rPr>
          <w:rFonts w:eastAsia="Arial"/>
          <w:color w:val="auto"/>
          <w:sz w:val="22"/>
          <w:szCs w:val="22"/>
        </w:rPr>
        <w:t>4</w:t>
      </w:r>
      <w:r w:rsidR="000359E6">
        <w:rPr>
          <w:rFonts w:eastAsia="Arial"/>
          <w:color w:val="auto"/>
          <w:sz w:val="22"/>
          <w:szCs w:val="22"/>
        </w:rPr>
        <w:t>8</w:t>
      </w:r>
      <w:r w:rsidRPr="007C5037">
        <w:rPr>
          <w:rFonts w:eastAsia="Arial"/>
          <w:color w:val="auto"/>
          <w:sz w:val="22"/>
          <w:szCs w:val="22"/>
        </w:rPr>
        <w:t>,</w:t>
      </w:r>
      <w:r w:rsidR="00170001">
        <w:rPr>
          <w:rFonts w:eastAsia="Arial"/>
          <w:color w:val="auto"/>
          <w:sz w:val="22"/>
          <w:szCs w:val="22"/>
        </w:rPr>
        <w:t>9</w:t>
      </w:r>
      <w:r w:rsidRPr="007C5037">
        <w:rPr>
          <w:rFonts w:eastAsia="Arial"/>
          <w:color w:val="auto"/>
          <w:sz w:val="22"/>
          <w:szCs w:val="22"/>
        </w:rPr>
        <w:t xml:space="preserve">εκ. για το για το </w:t>
      </w:r>
      <w:r w:rsidR="00170001">
        <w:rPr>
          <w:rFonts w:eastAsia="Arial"/>
          <w:color w:val="auto"/>
          <w:sz w:val="22"/>
          <w:szCs w:val="22"/>
        </w:rPr>
        <w:t>Β</w:t>
      </w:r>
      <w:r w:rsidR="00BF2A1D">
        <w:rPr>
          <w:rFonts w:eastAsia="Arial"/>
          <w:color w:val="auto"/>
          <w:sz w:val="22"/>
          <w:szCs w:val="22"/>
        </w:rPr>
        <w:t>’ Εξάμηνο</w:t>
      </w:r>
      <w:r w:rsidR="000359E6">
        <w:rPr>
          <w:rFonts w:eastAsia="Arial"/>
          <w:color w:val="auto"/>
          <w:sz w:val="22"/>
          <w:szCs w:val="22"/>
        </w:rPr>
        <w:t xml:space="preserve"> </w:t>
      </w:r>
      <w:r w:rsidRPr="007C5037">
        <w:rPr>
          <w:rFonts w:eastAsia="Arial"/>
          <w:color w:val="auto"/>
          <w:sz w:val="22"/>
          <w:szCs w:val="22"/>
        </w:rPr>
        <w:t>του 202</w:t>
      </w:r>
      <w:r w:rsidR="00FE09E2">
        <w:rPr>
          <w:rFonts w:eastAsia="Arial"/>
          <w:color w:val="auto"/>
          <w:sz w:val="22"/>
          <w:szCs w:val="22"/>
        </w:rPr>
        <w:t>4</w:t>
      </w:r>
      <w:r w:rsidRPr="007C5037">
        <w:rPr>
          <w:rFonts w:eastAsia="Arial"/>
          <w:color w:val="auto"/>
          <w:sz w:val="22"/>
          <w:szCs w:val="22"/>
        </w:rPr>
        <w:t>.</w:t>
      </w:r>
      <w:r w:rsidR="00170001" w:rsidRPr="00170001">
        <w:rPr>
          <w:rFonts w:eastAsia="Arial"/>
          <w:color w:val="auto"/>
          <w:sz w:val="22"/>
          <w:szCs w:val="22"/>
        </w:rPr>
        <w:t xml:space="preserve"> </w:t>
      </w:r>
      <w:r w:rsidR="00170001">
        <w:rPr>
          <w:rFonts w:eastAsia="Arial"/>
          <w:color w:val="auto"/>
          <w:sz w:val="22"/>
          <w:szCs w:val="22"/>
        </w:rPr>
        <w:t>Ο</w:t>
      </w:r>
      <w:r w:rsidR="00170001" w:rsidRPr="00FE09E2">
        <w:rPr>
          <w:rFonts w:eastAsia="Arial"/>
          <w:color w:val="auto"/>
          <w:sz w:val="22"/>
          <w:szCs w:val="22"/>
        </w:rPr>
        <w:t xml:space="preserve">ι καθαρές ταμειακές ροές μετά την εξόφληση των δαπανών </w:t>
      </w:r>
      <w:r w:rsidR="00170001">
        <w:rPr>
          <w:rFonts w:eastAsia="Arial"/>
          <w:color w:val="auto"/>
          <w:sz w:val="22"/>
          <w:szCs w:val="22"/>
        </w:rPr>
        <w:t xml:space="preserve">για το έτος 2025 </w:t>
      </w:r>
      <w:r w:rsidR="00170001" w:rsidRPr="00FE09E2">
        <w:rPr>
          <w:rFonts w:eastAsia="Arial"/>
          <w:color w:val="auto"/>
          <w:sz w:val="22"/>
          <w:szCs w:val="22"/>
        </w:rPr>
        <w:t>ανήλθαν σε €</w:t>
      </w:r>
      <w:r w:rsidR="00170001">
        <w:rPr>
          <w:rFonts w:eastAsia="Arial"/>
          <w:color w:val="auto"/>
          <w:sz w:val="22"/>
          <w:szCs w:val="22"/>
        </w:rPr>
        <w:t>203,7</w:t>
      </w:r>
      <w:r w:rsidR="00170001" w:rsidRPr="00FE09E2">
        <w:rPr>
          <w:rFonts w:eastAsia="Arial"/>
          <w:color w:val="auto"/>
          <w:sz w:val="22"/>
          <w:szCs w:val="22"/>
        </w:rPr>
        <w:t>εκ.</w:t>
      </w:r>
      <w:r w:rsidR="00170001">
        <w:rPr>
          <w:rFonts w:eastAsia="Arial"/>
          <w:color w:val="auto"/>
          <w:sz w:val="22"/>
          <w:szCs w:val="22"/>
        </w:rPr>
        <w:t xml:space="preserve"> μειωμένες κατά 39,6% έναντι €337,4εκ. για το 2024.</w:t>
      </w:r>
      <w:r w:rsidR="00170001" w:rsidRPr="00FE09E2">
        <w:rPr>
          <w:rFonts w:eastAsia="Arial"/>
          <w:color w:val="auto"/>
          <w:sz w:val="22"/>
          <w:szCs w:val="22"/>
        </w:rPr>
        <w:t xml:space="preserve"> </w:t>
      </w:r>
    </w:p>
    <w:p w14:paraId="143D503C" w14:textId="77777777" w:rsidR="00381E2E" w:rsidRPr="00640025" w:rsidRDefault="00381E2E">
      <w:pPr>
        <w:pStyle w:val="Default"/>
        <w:contextualSpacing/>
        <w:jc w:val="both"/>
        <w:rPr>
          <w:rFonts w:eastAsia="Arial"/>
          <w:color w:val="auto"/>
          <w:sz w:val="22"/>
          <w:szCs w:val="22"/>
        </w:rPr>
      </w:pPr>
    </w:p>
    <w:p w14:paraId="197681F6" w14:textId="27EE423E" w:rsidR="00AA7E2C" w:rsidRPr="00FE09E2" w:rsidRDefault="00AA7E2C" w:rsidP="00640025">
      <w:pPr>
        <w:pStyle w:val="Default"/>
        <w:contextualSpacing/>
        <w:jc w:val="both"/>
        <w:rPr>
          <w:rFonts w:eastAsia="Arial"/>
          <w:color w:val="auto"/>
          <w:sz w:val="22"/>
          <w:szCs w:val="22"/>
        </w:rPr>
      </w:pPr>
      <w:r w:rsidRPr="00FE09E2">
        <w:rPr>
          <w:rFonts w:eastAsia="Arial"/>
          <w:color w:val="auto"/>
          <w:sz w:val="22"/>
          <w:szCs w:val="22"/>
        </w:rPr>
        <w:t>Σωρευτικά  από την έναρξη εργασιών της ΚΕΔΙΠΕΣ οι καθαρές ταμειακές ροές μετά την εξόφληση των δαπανών ανήλθαν σε €1.</w:t>
      </w:r>
      <w:r w:rsidR="00170001">
        <w:rPr>
          <w:rFonts w:eastAsia="Arial"/>
          <w:color w:val="auto"/>
          <w:sz w:val="22"/>
          <w:szCs w:val="22"/>
        </w:rPr>
        <w:t>784</w:t>
      </w:r>
      <w:r w:rsidRPr="00FE09E2">
        <w:rPr>
          <w:rFonts w:eastAsia="Arial"/>
          <w:color w:val="auto"/>
          <w:sz w:val="22"/>
          <w:szCs w:val="22"/>
        </w:rPr>
        <w:t>,</w:t>
      </w:r>
      <w:r w:rsidR="00170001">
        <w:rPr>
          <w:rFonts w:eastAsia="Arial"/>
          <w:color w:val="auto"/>
          <w:sz w:val="22"/>
          <w:szCs w:val="22"/>
        </w:rPr>
        <w:t>3</w:t>
      </w:r>
      <w:r w:rsidRPr="00FE09E2">
        <w:rPr>
          <w:rFonts w:eastAsia="Arial"/>
          <w:color w:val="auto"/>
          <w:sz w:val="22"/>
          <w:szCs w:val="22"/>
        </w:rPr>
        <w:t xml:space="preserve">εκ. </w:t>
      </w:r>
    </w:p>
    <w:p w14:paraId="72648CEF" w14:textId="77777777" w:rsidR="00AA7E2C" w:rsidRPr="00CB0CCC" w:rsidRDefault="00AA7E2C" w:rsidP="00B736C7">
      <w:pPr>
        <w:pStyle w:val="Default"/>
        <w:contextualSpacing/>
        <w:jc w:val="both"/>
        <w:rPr>
          <w:color w:val="auto"/>
          <w:sz w:val="22"/>
          <w:szCs w:val="22"/>
        </w:rPr>
      </w:pPr>
    </w:p>
    <w:p w14:paraId="1F5BE1E0" w14:textId="77777777" w:rsidR="00215245" w:rsidRPr="00CB0CCC" w:rsidRDefault="00215245" w:rsidP="00B736C7">
      <w:pPr>
        <w:pStyle w:val="Default"/>
        <w:contextualSpacing/>
        <w:jc w:val="both"/>
        <w:rPr>
          <w:color w:val="auto"/>
          <w:sz w:val="22"/>
          <w:szCs w:val="22"/>
        </w:rPr>
      </w:pPr>
    </w:p>
    <w:p w14:paraId="41DF681B" w14:textId="77777777" w:rsidR="00CD5F05" w:rsidRPr="00CB0CCC" w:rsidRDefault="00CD5F05" w:rsidP="00B736C7">
      <w:pPr>
        <w:pStyle w:val="Default"/>
        <w:contextualSpacing/>
        <w:jc w:val="both"/>
        <w:rPr>
          <w:color w:val="auto"/>
          <w:sz w:val="22"/>
          <w:szCs w:val="22"/>
        </w:rPr>
      </w:pPr>
    </w:p>
    <w:p w14:paraId="2945A087" w14:textId="77777777" w:rsidR="00CD5F05" w:rsidRPr="00CB0CCC" w:rsidRDefault="00CD5F05" w:rsidP="00B736C7">
      <w:pPr>
        <w:pStyle w:val="Default"/>
        <w:contextualSpacing/>
        <w:jc w:val="both"/>
        <w:rPr>
          <w:color w:val="auto"/>
          <w:sz w:val="22"/>
          <w:szCs w:val="22"/>
        </w:rPr>
      </w:pPr>
    </w:p>
    <w:p w14:paraId="228DE114" w14:textId="77777777" w:rsidR="00CD5F05" w:rsidRPr="00CB0CCC" w:rsidRDefault="00CD5F05" w:rsidP="00B736C7">
      <w:pPr>
        <w:pStyle w:val="Default"/>
        <w:contextualSpacing/>
        <w:jc w:val="both"/>
        <w:rPr>
          <w:color w:val="auto"/>
          <w:sz w:val="22"/>
          <w:szCs w:val="22"/>
        </w:rPr>
      </w:pPr>
    </w:p>
    <w:p w14:paraId="487AD6B3" w14:textId="77777777" w:rsidR="00CD5F05" w:rsidRPr="00CB0CCC" w:rsidRDefault="00CD5F05" w:rsidP="00B736C7">
      <w:pPr>
        <w:pStyle w:val="Default"/>
        <w:contextualSpacing/>
        <w:jc w:val="both"/>
        <w:rPr>
          <w:color w:val="auto"/>
          <w:sz w:val="22"/>
          <w:szCs w:val="22"/>
        </w:rPr>
      </w:pPr>
    </w:p>
    <w:p w14:paraId="4576C3CC" w14:textId="77777777" w:rsidR="00CD5F05" w:rsidRPr="00CB0CCC" w:rsidRDefault="00CD5F05" w:rsidP="00B736C7">
      <w:pPr>
        <w:pStyle w:val="Default"/>
        <w:contextualSpacing/>
        <w:jc w:val="both"/>
        <w:rPr>
          <w:color w:val="auto"/>
          <w:sz w:val="22"/>
          <w:szCs w:val="22"/>
        </w:rPr>
      </w:pPr>
    </w:p>
    <w:p w14:paraId="7F60EE9E" w14:textId="77777777" w:rsidR="00323623" w:rsidRDefault="00323623" w:rsidP="00B736C7">
      <w:pPr>
        <w:pStyle w:val="Default"/>
        <w:jc w:val="center"/>
        <w:rPr>
          <w:b/>
          <w:bCs/>
          <w:color w:val="auto"/>
          <w:sz w:val="22"/>
          <w:szCs w:val="22"/>
        </w:rPr>
      </w:pPr>
      <w:bookmarkStart w:id="1" w:name="_Hlk166758887"/>
    </w:p>
    <w:p w14:paraId="64DD3469" w14:textId="11C2F5EB" w:rsidR="00AA7E2C" w:rsidRPr="00C56475" w:rsidRDefault="00AA7E2C" w:rsidP="00B736C7">
      <w:pPr>
        <w:pStyle w:val="Default"/>
        <w:jc w:val="center"/>
        <w:rPr>
          <w:b/>
          <w:bCs/>
          <w:color w:val="auto"/>
          <w:sz w:val="26"/>
          <w:szCs w:val="26"/>
        </w:rPr>
      </w:pPr>
      <w:r w:rsidRPr="00C56475">
        <w:rPr>
          <w:b/>
          <w:bCs/>
          <w:color w:val="auto"/>
          <w:sz w:val="26"/>
          <w:szCs w:val="26"/>
        </w:rPr>
        <w:lastRenderedPageBreak/>
        <w:t>Άλλες εξελίξεις</w:t>
      </w:r>
    </w:p>
    <w:p w14:paraId="5B4C2821" w14:textId="77777777" w:rsidR="00576BE8" w:rsidRPr="00576BE8" w:rsidRDefault="00576BE8" w:rsidP="00B736C7">
      <w:pPr>
        <w:pStyle w:val="Default"/>
        <w:jc w:val="center"/>
        <w:rPr>
          <w:b/>
          <w:bCs/>
          <w:color w:val="auto"/>
          <w:sz w:val="22"/>
          <w:szCs w:val="22"/>
          <w:u w:val="single"/>
        </w:rPr>
      </w:pPr>
    </w:p>
    <w:p w14:paraId="07AB6C92" w14:textId="7FFA139F" w:rsidR="00576BE8" w:rsidRPr="00576BE8" w:rsidRDefault="00576BE8" w:rsidP="00B736C7">
      <w:pPr>
        <w:pStyle w:val="Default"/>
        <w:contextualSpacing/>
        <w:jc w:val="both"/>
        <w:rPr>
          <w:rFonts w:eastAsia="Arial"/>
          <w:b/>
          <w:bCs/>
          <w:color w:val="auto"/>
          <w:sz w:val="22"/>
          <w:szCs w:val="22"/>
          <w:u w:val="single"/>
        </w:rPr>
      </w:pPr>
      <w:r w:rsidRPr="00576BE8">
        <w:rPr>
          <w:rFonts w:eastAsia="Arial"/>
          <w:b/>
          <w:bCs/>
          <w:color w:val="auto"/>
          <w:sz w:val="22"/>
          <w:szCs w:val="22"/>
          <w:u w:val="single"/>
        </w:rPr>
        <w:t>Αποπληρωμή Κρατικής Βοήθειας</w:t>
      </w:r>
    </w:p>
    <w:p w14:paraId="16C63BC7" w14:textId="77777777" w:rsidR="00576BE8" w:rsidRDefault="00576BE8" w:rsidP="00576BE8">
      <w:pPr>
        <w:pStyle w:val="Default"/>
        <w:contextualSpacing/>
        <w:jc w:val="both"/>
        <w:rPr>
          <w:rFonts w:eastAsia="Arial"/>
          <w:color w:val="auto"/>
          <w:sz w:val="22"/>
          <w:szCs w:val="22"/>
        </w:rPr>
      </w:pPr>
    </w:p>
    <w:p w14:paraId="452E1516" w14:textId="36F10B4E" w:rsidR="00050D09" w:rsidRDefault="00F8140C" w:rsidP="00576BE8">
      <w:pPr>
        <w:pStyle w:val="Default"/>
        <w:contextualSpacing/>
        <w:jc w:val="both"/>
        <w:rPr>
          <w:rFonts w:eastAsia="Arial"/>
          <w:color w:val="auto"/>
          <w:sz w:val="22"/>
          <w:szCs w:val="22"/>
        </w:rPr>
      </w:pPr>
      <w:r>
        <w:rPr>
          <w:rFonts w:eastAsia="Arial"/>
          <w:color w:val="auto"/>
          <w:sz w:val="22"/>
          <w:szCs w:val="22"/>
        </w:rPr>
        <w:t>Στις</w:t>
      </w:r>
      <w:r w:rsidR="00FA3F5E">
        <w:rPr>
          <w:rFonts w:eastAsia="Arial"/>
          <w:color w:val="auto"/>
          <w:sz w:val="22"/>
          <w:szCs w:val="22"/>
        </w:rPr>
        <w:t xml:space="preserve"> </w:t>
      </w:r>
      <w:r w:rsidR="00FA3F5E" w:rsidRPr="00FA3F5E">
        <w:rPr>
          <w:rFonts w:eastAsia="Arial"/>
          <w:color w:val="auto"/>
          <w:sz w:val="22"/>
          <w:szCs w:val="22"/>
        </w:rPr>
        <w:t>18 Δεκεμβρίου 2025</w:t>
      </w:r>
      <w:r w:rsidR="00A94F6A" w:rsidRPr="007C5037">
        <w:rPr>
          <w:rFonts w:eastAsia="Arial"/>
          <w:color w:val="auto"/>
          <w:sz w:val="22"/>
          <w:szCs w:val="22"/>
        </w:rPr>
        <w:t xml:space="preserve"> </w:t>
      </w:r>
      <w:r w:rsidR="005F1537" w:rsidRPr="007C5037">
        <w:rPr>
          <w:rFonts w:eastAsia="Arial"/>
          <w:color w:val="auto"/>
          <w:sz w:val="22"/>
          <w:szCs w:val="22"/>
        </w:rPr>
        <w:t xml:space="preserve">πραγματοποιήθηκε </w:t>
      </w:r>
      <w:r w:rsidR="00377FC3" w:rsidRPr="007C5037">
        <w:rPr>
          <w:rFonts w:eastAsia="Arial"/>
          <w:color w:val="auto"/>
          <w:sz w:val="22"/>
          <w:szCs w:val="22"/>
        </w:rPr>
        <w:t>νέα</w:t>
      </w:r>
      <w:r w:rsidR="00A94F6A" w:rsidRPr="007C5037">
        <w:rPr>
          <w:rFonts w:eastAsia="Arial"/>
          <w:color w:val="auto"/>
          <w:sz w:val="22"/>
          <w:szCs w:val="22"/>
        </w:rPr>
        <w:t xml:space="preserve"> αποπληρωμή κρατικής βοήθειας </w:t>
      </w:r>
      <w:r w:rsidR="00EB4BD7">
        <w:rPr>
          <w:rFonts w:eastAsia="Arial"/>
          <w:color w:val="auto"/>
          <w:sz w:val="22"/>
          <w:szCs w:val="22"/>
        </w:rPr>
        <w:t xml:space="preserve">σε μετρητά </w:t>
      </w:r>
      <w:r w:rsidR="005570B1">
        <w:rPr>
          <w:rFonts w:eastAsia="Arial"/>
          <w:color w:val="auto"/>
          <w:sz w:val="22"/>
          <w:szCs w:val="22"/>
        </w:rPr>
        <w:t xml:space="preserve">ύψους </w:t>
      </w:r>
      <w:r w:rsidR="00A94F6A" w:rsidRPr="007C5037">
        <w:rPr>
          <w:rFonts w:eastAsia="Arial"/>
          <w:color w:val="auto"/>
          <w:sz w:val="22"/>
          <w:szCs w:val="22"/>
        </w:rPr>
        <w:t>€</w:t>
      </w:r>
      <w:r w:rsidR="00730899">
        <w:rPr>
          <w:rFonts w:eastAsia="Arial"/>
          <w:color w:val="auto"/>
          <w:sz w:val="22"/>
          <w:szCs w:val="22"/>
        </w:rPr>
        <w:t>6</w:t>
      </w:r>
      <w:r w:rsidR="0076553F">
        <w:rPr>
          <w:rFonts w:eastAsia="Arial"/>
          <w:color w:val="auto"/>
          <w:sz w:val="22"/>
          <w:szCs w:val="22"/>
        </w:rPr>
        <w:t>0</w:t>
      </w:r>
      <w:r w:rsidR="00A94F6A" w:rsidRPr="007C5037">
        <w:rPr>
          <w:rFonts w:eastAsia="Arial"/>
          <w:color w:val="auto"/>
          <w:sz w:val="22"/>
          <w:szCs w:val="22"/>
        </w:rPr>
        <w:t>εκ.</w:t>
      </w:r>
      <w:r w:rsidR="00AE392E">
        <w:rPr>
          <w:rFonts w:eastAsia="Arial"/>
          <w:color w:val="auto"/>
          <w:sz w:val="22"/>
          <w:szCs w:val="22"/>
        </w:rPr>
        <w:t xml:space="preserve"> </w:t>
      </w:r>
      <w:r w:rsidR="00A94F6A" w:rsidRPr="007C5037">
        <w:rPr>
          <w:rFonts w:eastAsia="Arial"/>
          <w:color w:val="auto"/>
          <w:sz w:val="22"/>
          <w:szCs w:val="22"/>
        </w:rPr>
        <w:t xml:space="preserve">για το </w:t>
      </w:r>
      <w:r w:rsidR="00730899">
        <w:rPr>
          <w:rFonts w:eastAsia="Arial"/>
          <w:color w:val="auto"/>
          <w:sz w:val="22"/>
          <w:szCs w:val="22"/>
        </w:rPr>
        <w:t>Δ</w:t>
      </w:r>
      <w:r w:rsidR="00A94F6A" w:rsidRPr="007C5037">
        <w:rPr>
          <w:rFonts w:eastAsia="Arial"/>
          <w:color w:val="auto"/>
          <w:sz w:val="22"/>
          <w:szCs w:val="22"/>
        </w:rPr>
        <w:t>’ Τρίμηνο 202</w:t>
      </w:r>
      <w:r w:rsidR="00ED449A" w:rsidRPr="007C5037">
        <w:rPr>
          <w:rFonts w:eastAsia="Arial"/>
          <w:color w:val="auto"/>
          <w:sz w:val="22"/>
          <w:szCs w:val="22"/>
        </w:rPr>
        <w:t>5</w:t>
      </w:r>
      <w:r w:rsidR="00A94F6A" w:rsidRPr="007C5037">
        <w:rPr>
          <w:rFonts w:eastAsia="Arial"/>
          <w:color w:val="auto"/>
          <w:sz w:val="22"/>
          <w:szCs w:val="22"/>
        </w:rPr>
        <w:t xml:space="preserve"> αυξάνοντας το συνολικό ποσό αποπληρωμής κρατικής βοήθειας σε μετρητά σ</w:t>
      </w:r>
      <w:r w:rsidR="00FB1922">
        <w:rPr>
          <w:rFonts w:eastAsia="Arial"/>
          <w:color w:val="auto"/>
          <w:sz w:val="22"/>
          <w:szCs w:val="22"/>
        </w:rPr>
        <w:t xml:space="preserve">ε </w:t>
      </w:r>
      <w:r>
        <w:rPr>
          <w:rFonts w:eastAsia="Arial"/>
          <w:color w:val="auto"/>
          <w:sz w:val="22"/>
          <w:szCs w:val="22"/>
        </w:rPr>
        <w:t xml:space="preserve">€110εκ για το Β’ Εξάμηνο 2025, €210εκ για το 2025 και σε </w:t>
      </w:r>
      <w:r w:rsidR="00A94F6A" w:rsidRPr="00E9505D">
        <w:rPr>
          <w:rFonts w:eastAsia="Arial"/>
          <w:color w:val="auto"/>
          <w:sz w:val="22"/>
          <w:szCs w:val="22"/>
        </w:rPr>
        <w:t>€</w:t>
      </w:r>
      <w:r w:rsidR="00E9505D" w:rsidRPr="00E9505D">
        <w:rPr>
          <w:rFonts w:eastAsia="Arial"/>
          <w:color w:val="auto"/>
          <w:sz w:val="22"/>
          <w:szCs w:val="22"/>
        </w:rPr>
        <w:t>1.6</w:t>
      </w:r>
      <w:r w:rsidR="00730899">
        <w:rPr>
          <w:rFonts w:eastAsia="Arial"/>
          <w:color w:val="auto"/>
          <w:sz w:val="22"/>
          <w:szCs w:val="22"/>
        </w:rPr>
        <w:t>8</w:t>
      </w:r>
      <w:r w:rsidR="00583B74">
        <w:rPr>
          <w:rFonts w:eastAsia="Arial"/>
          <w:color w:val="auto"/>
          <w:sz w:val="22"/>
          <w:szCs w:val="22"/>
        </w:rPr>
        <w:t>0</w:t>
      </w:r>
      <w:r w:rsidR="00A94F6A" w:rsidRPr="00E9505D">
        <w:rPr>
          <w:rFonts w:eastAsia="Arial"/>
          <w:color w:val="auto"/>
          <w:sz w:val="22"/>
          <w:szCs w:val="22"/>
        </w:rPr>
        <w:t>εκ</w:t>
      </w:r>
      <w:r w:rsidR="00A94F6A" w:rsidRPr="007C5037">
        <w:rPr>
          <w:rFonts w:eastAsia="Arial"/>
          <w:color w:val="auto"/>
          <w:sz w:val="22"/>
          <w:szCs w:val="22"/>
        </w:rPr>
        <w:t xml:space="preserve">. από την έναρξη των εργασιών της ΚΕΔΙΠΕΣ τον Σεπτέμβριο  2018. </w:t>
      </w:r>
      <w:bookmarkEnd w:id="1"/>
    </w:p>
    <w:p w14:paraId="560418E3" w14:textId="77777777" w:rsidR="00050D09" w:rsidRDefault="00050D09" w:rsidP="00576BE8">
      <w:pPr>
        <w:pStyle w:val="Default"/>
        <w:contextualSpacing/>
        <w:jc w:val="both"/>
        <w:rPr>
          <w:rFonts w:eastAsia="Arial"/>
          <w:color w:val="auto"/>
          <w:sz w:val="22"/>
          <w:szCs w:val="22"/>
        </w:rPr>
      </w:pPr>
    </w:p>
    <w:p w14:paraId="6CE08D19" w14:textId="24930887" w:rsidR="00253470" w:rsidRPr="008E021E" w:rsidRDefault="00050D09" w:rsidP="00576BE8">
      <w:pPr>
        <w:pStyle w:val="Default"/>
        <w:contextualSpacing/>
        <w:jc w:val="both"/>
        <w:rPr>
          <w:rFonts w:eastAsia="Arial"/>
          <w:color w:val="auto"/>
          <w:sz w:val="22"/>
          <w:szCs w:val="22"/>
        </w:rPr>
      </w:pPr>
      <w:r w:rsidRPr="008E021E">
        <w:rPr>
          <w:rFonts w:eastAsia="Arial"/>
          <w:color w:val="auto"/>
          <w:sz w:val="22"/>
          <w:szCs w:val="22"/>
        </w:rPr>
        <w:t xml:space="preserve">Επιπλέον η ΚΕΔΙΠΕΣ, ως φορέας υλοποίησης του Σχεδίου ‘Ενοίκιο Έναντι Δόσης’, συνείσφερε μέχρι </w:t>
      </w:r>
      <w:r w:rsidR="00B458C5" w:rsidRPr="00640025">
        <w:rPr>
          <w:rFonts w:eastAsia="Arial"/>
          <w:color w:val="auto"/>
          <w:sz w:val="22"/>
          <w:szCs w:val="22"/>
        </w:rPr>
        <w:t>το τέλος του 2025</w:t>
      </w:r>
      <w:r w:rsidR="00B458C5" w:rsidRPr="008E021E">
        <w:rPr>
          <w:rFonts w:eastAsia="Arial"/>
          <w:color w:val="auto"/>
          <w:sz w:val="22"/>
          <w:szCs w:val="22"/>
        </w:rPr>
        <w:t xml:space="preserve">, </w:t>
      </w:r>
      <w:r w:rsidRPr="008E021E">
        <w:rPr>
          <w:rFonts w:eastAsia="Arial"/>
          <w:color w:val="auto"/>
          <w:sz w:val="22"/>
          <w:szCs w:val="22"/>
        </w:rPr>
        <w:t>€</w:t>
      </w:r>
      <w:r w:rsidRPr="00640025">
        <w:rPr>
          <w:rFonts w:eastAsia="Arial"/>
          <w:color w:val="auto"/>
          <w:sz w:val="22"/>
          <w:szCs w:val="22"/>
        </w:rPr>
        <w:t>5</w:t>
      </w:r>
      <w:r w:rsidR="00A375CA" w:rsidRPr="00640025">
        <w:rPr>
          <w:rFonts w:eastAsia="Arial"/>
          <w:color w:val="auto"/>
          <w:sz w:val="22"/>
          <w:szCs w:val="22"/>
        </w:rPr>
        <w:t>5</w:t>
      </w:r>
      <w:r w:rsidRPr="008E021E">
        <w:rPr>
          <w:rFonts w:eastAsia="Arial"/>
          <w:color w:val="auto"/>
          <w:sz w:val="22"/>
          <w:szCs w:val="22"/>
        </w:rPr>
        <w:t xml:space="preserve">εκ. υπό μορφή δαπάνης για ένταξη </w:t>
      </w:r>
      <w:r w:rsidRPr="00640025">
        <w:rPr>
          <w:rFonts w:eastAsia="Arial"/>
          <w:color w:val="auto"/>
          <w:sz w:val="22"/>
          <w:szCs w:val="22"/>
        </w:rPr>
        <w:t>4</w:t>
      </w:r>
      <w:r w:rsidR="00A375CA" w:rsidRPr="00640025">
        <w:rPr>
          <w:rFonts w:eastAsia="Arial"/>
          <w:color w:val="auto"/>
          <w:sz w:val="22"/>
          <w:szCs w:val="22"/>
        </w:rPr>
        <w:t>54</w:t>
      </w:r>
      <w:r w:rsidRPr="008E021E">
        <w:rPr>
          <w:rFonts w:eastAsia="Arial"/>
          <w:color w:val="auto"/>
          <w:sz w:val="22"/>
          <w:szCs w:val="22"/>
        </w:rPr>
        <w:t xml:space="preserve"> κατοικιών στο Σχέδιο. Από το 2018 που ξεκίνησαν οι εργασίες της ΚΕΔΙΠΕΣ, το συνολικό ποσό αποπληρωμής κρατικής βοήθειας</w:t>
      </w:r>
      <w:r w:rsidR="00215245" w:rsidRPr="00CB0CCC">
        <w:rPr>
          <w:rFonts w:eastAsia="Arial"/>
          <w:color w:val="auto"/>
          <w:sz w:val="22"/>
          <w:szCs w:val="22"/>
        </w:rPr>
        <w:t xml:space="preserve"> </w:t>
      </w:r>
      <w:r w:rsidR="00215245">
        <w:rPr>
          <w:rFonts w:eastAsia="Arial"/>
          <w:color w:val="auto"/>
          <w:sz w:val="22"/>
          <w:szCs w:val="22"/>
        </w:rPr>
        <w:t>μέχρι τις 31 Δεκεμβρίου 2025</w:t>
      </w:r>
      <w:r w:rsidRPr="008E021E">
        <w:rPr>
          <w:rFonts w:eastAsia="Arial"/>
          <w:color w:val="auto"/>
          <w:sz w:val="22"/>
          <w:szCs w:val="22"/>
        </w:rPr>
        <w:t xml:space="preserve"> ανέρχεται σε €</w:t>
      </w:r>
      <w:r w:rsidRPr="00640025">
        <w:rPr>
          <w:rFonts w:eastAsia="Arial"/>
          <w:color w:val="auto"/>
          <w:sz w:val="22"/>
          <w:szCs w:val="22"/>
        </w:rPr>
        <w:t>1.74</w:t>
      </w:r>
      <w:r w:rsidR="00A375CA" w:rsidRPr="00640025">
        <w:rPr>
          <w:rFonts w:eastAsia="Arial"/>
          <w:color w:val="auto"/>
          <w:sz w:val="22"/>
          <w:szCs w:val="22"/>
        </w:rPr>
        <w:t>6</w:t>
      </w:r>
      <w:r w:rsidRPr="00640025">
        <w:rPr>
          <w:rFonts w:eastAsia="Arial"/>
          <w:color w:val="auto"/>
          <w:sz w:val="22"/>
          <w:szCs w:val="22"/>
        </w:rPr>
        <w:t>εκ</w:t>
      </w:r>
      <w:r w:rsidRPr="008E021E">
        <w:rPr>
          <w:rFonts w:eastAsia="Arial"/>
          <w:color w:val="auto"/>
          <w:sz w:val="22"/>
          <w:szCs w:val="22"/>
        </w:rPr>
        <w:t xml:space="preserve">. ως ακολούθως: </w:t>
      </w:r>
    </w:p>
    <w:p w14:paraId="60E99D21" w14:textId="77777777" w:rsidR="00253470" w:rsidRPr="008E021E" w:rsidRDefault="00253470" w:rsidP="00576BE8">
      <w:pPr>
        <w:pStyle w:val="Default"/>
        <w:contextualSpacing/>
        <w:jc w:val="both"/>
        <w:rPr>
          <w:rFonts w:eastAsia="Arial"/>
          <w:color w:val="auto"/>
          <w:sz w:val="22"/>
          <w:szCs w:val="22"/>
        </w:rPr>
      </w:pPr>
    </w:p>
    <w:p w14:paraId="498A8A22" w14:textId="77777777" w:rsidR="00253470" w:rsidRPr="008E021E" w:rsidRDefault="00050D09" w:rsidP="00253470">
      <w:pPr>
        <w:pStyle w:val="Default"/>
        <w:ind w:left="720"/>
        <w:contextualSpacing/>
        <w:jc w:val="both"/>
        <w:rPr>
          <w:rFonts w:eastAsia="Arial"/>
          <w:color w:val="auto"/>
          <w:sz w:val="22"/>
          <w:szCs w:val="22"/>
        </w:rPr>
      </w:pPr>
      <w:r w:rsidRPr="008E021E">
        <w:rPr>
          <w:rFonts w:eastAsia="Arial"/>
          <w:color w:val="auto"/>
          <w:sz w:val="22"/>
          <w:szCs w:val="22"/>
        </w:rPr>
        <w:t>• Αποπληρωμή κρατικής βοήθειας σε μετρητά €1.680εκ.</w:t>
      </w:r>
    </w:p>
    <w:p w14:paraId="1791DD70" w14:textId="34697926" w:rsidR="00253470" w:rsidRPr="008E021E" w:rsidRDefault="00050D09" w:rsidP="00253470">
      <w:pPr>
        <w:pStyle w:val="Default"/>
        <w:ind w:firstLine="720"/>
        <w:contextualSpacing/>
        <w:jc w:val="both"/>
        <w:rPr>
          <w:rFonts w:eastAsia="Arial"/>
          <w:color w:val="auto"/>
          <w:sz w:val="22"/>
          <w:szCs w:val="22"/>
        </w:rPr>
      </w:pPr>
      <w:r w:rsidRPr="008E021E">
        <w:rPr>
          <w:rFonts w:eastAsia="Arial"/>
          <w:color w:val="auto"/>
          <w:sz w:val="22"/>
          <w:szCs w:val="22"/>
        </w:rPr>
        <w:t xml:space="preserve">• Δαπάνη υλοποίησης Σχεδίου ‘Ενοίκιο Έναντι </w:t>
      </w:r>
      <w:r w:rsidRPr="00215245">
        <w:rPr>
          <w:rFonts w:eastAsia="Arial"/>
          <w:color w:val="auto"/>
          <w:sz w:val="22"/>
          <w:szCs w:val="22"/>
        </w:rPr>
        <w:t>Δόσης’ €</w:t>
      </w:r>
      <w:r w:rsidRPr="00CB0CCC">
        <w:rPr>
          <w:rFonts w:eastAsia="Arial"/>
          <w:color w:val="auto"/>
          <w:sz w:val="22"/>
          <w:szCs w:val="22"/>
        </w:rPr>
        <w:t>5</w:t>
      </w:r>
      <w:r w:rsidR="00A375CA" w:rsidRPr="00CB0CCC">
        <w:rPr>
          <w:rFonts w:eastAsia="Arial"/>
          <w:color w:val="auto"/>
          <w:sz w:val="22"/>
          <w:szCs w:val="22"/>
        </w:rPr>
        <w:t>5</w:t>
      </w:r>
      <w:r w:rsidRPr="00215245">
        <w:rPr>
          <w:rFonts w:eastAsia="Arial"/>
          <w:color w:val="auto"/>
          <w:sz w:val="22"/>
          <w:szCs w:val="22"/>
        </w:rPr>
        <w:t>εκ</w:t>
      </w:r>
      <w:r w:rsidRPr="008E021E">
        <w:rPr>
          <w:rFonts w:eastAsia="Arial"/>
          <w:color w:val="auto"/>
          <w:sz w:val="22"/>
          <w:szCs w:val="22"/>
        </w:rPr>
        <w:t xml:space="preserve">. </w:t>
      </w:r>
    </w:p>
    <w:p w14:paraId="69E24162" w14:textId="4D597029" w:rsidR="00050D09" w:rsidRDefault="00050D09" w:rsidP="00253470">
      <w:pPr>
        <w:pStyle w:val="Default"/>
        <w:ind w:firstLine="720"/>
        <w:contextualSpacing/>
        <w:jc w:val="both"/>
        <w:rPr>
          <w:rFonts w:eastAsia="Arial"/>
          <w:color w:val="auto"/>
          <w:sz w:val="22"/>
          <w:szCs w:val="22"/>
        </w:rPr>
      </w:pPr>
      <w:r w:rsidRPr="008E021E">
        <w:rPr>
          <w:rFonts w:eastAsia="Arial"/>
          <w:color w:val="auto"/>
          <w:sz w:val="22"/>
          <w:szCs w:val="22"/>
        </w:rPr>
        <w:t>• Άλλες αποπληρωμές (όπως δόσεις σχεδίου Εστία) €</w:t>
      </w:r>
      <w:r w:rsidRPr="00640025">
        <w:rPr>
          <w:rFonts w:eastAsia="Arial"/>
          <w:color w:val="auto"/>
          <w:sz w:val="22"/>
          <w:szCs w:val="22"/>
        </w:rPr>
        <w:t>1</w:t>
      </w:r>
      <w:r w:rsidR="00A375CA" w:rsidRPr="00640025">
        <w:rPr>
          <w:rFonts w:eastAsia="Arial"/>
          <w:color w:val="auto"/>
          <w:sz w:val="22"/>
          <w:szCs w:val="22"/>
        </w:rPr>
        <w:t>1</w:t>
      </w:r>
      <w:r w:rsidRPr="008E021E">
        <w:rPr>
          <w:rFonts w:eastAsia="Arial"/>
          <w:color w:val="auto"/>
          <w:sz w:val="22"/>
          <w:szCs w:val="22"/>
        </w:rPr>
        <w:t>εκ.</w:t>
      </w:r>
    </w:p>
    <w:p w14:paraId="3802189C" w14:textId="77777777" w:rsidR="00050D09" w:rsidRDefault="00050D09" w:rsidP="00576BE8">
      <w:pPr>
        <w:pStyle w:val="Default"/>
        <w:contextualSpacing/>
        <w:jc w:val="both"/>
        <w:rPr>
          <w:rFonts w:eastAsia="Arial"/>
          <w:color w:val="auto"/>
          <w:sz w:val="22"/>
          <w:szCs w:val="22"/>
        </w:rPr>
      </w:pPr>
    </w:p>
    <w:p w14:paraId="09B1549B" w14:textId="27F33341" w:rsidR="008913FE" w:rsidRDefault="00FB1922" w:rsidP="00576BE8">
      <w:pPr>
        <w:pStyle w:val="Default"/>
        <w:contextualSpacing/>
        <w:jc w:val="both"/>
        <w:rPr>
          <w:rFonts w:eastAsia="Arial"/>
          <w:color w:val="auto"/>
          <w:sz w:val="22"/>
          <w:szCs w:val="22"/>
        </w:rPr>
      </w:pPr>
      <w:r w:rsidRPr="00576BE8">
        <w:rPr>
          <w:rFonts w:eastAsia="Arial"/>
          <w:color w:val="auto"/>
          <w:sz w:val="22"/>
          <w:szCs w:val="22"/>
        </w:rPr>
        <w:t>Παράλληλα</w:t>
      </w:r>
      <w:r w:rsidR="00CD5433" w:rsidRPr="00576BE8">
        <w:rPr>
          <w:rFonts w:eastAsia="Arial"/>
          <w:color w:val="auto"/>
          <w:sz w:val="22"/>
          <w:szCs w:val="22"/>
        </w:rPr>
        <w:t xml:space="preserve"> η ΚΕΔΙΠΕΣ </w:t>
      </w:r>
      <w:r w:rsidRPr="00576BE8">
        <w:rPr>
          <w:rFonts w:eastAsia="Arial"/>
          <w:color w:val="auto"/>
          <w:sz w:val="22"/>
          <w:szCs w:val="22"/>
        </w:rPr>
        <w:t>συνεχίζει να διατηρεί</w:t>
      </w:r>
      <w:r w:rsidR="00CD5433" w:rsidRPr="00576BE8">
        <w:rPr>
          <w:rFonts w:eastAsia="Arial"/>
          <w:color w:val="auto"/>
          <w:sz w:val="22"/>
          <w:szCs w:val="22"/>
        </w:rPr>
        <w:t xml:space="preserve"> απόθεμα</w:t>
      </w:r>
      <w:r w:rsidR="00966BFC" w:rsidRPr="00576BE8">
        <w:rPr>
          <w:rFonts w:eastAsia="Arial"/>
          <w:color w:val="auto"/>
          <w:sz w:val="22"/>
          <w:szCs w:val="22"/>
        </w:rPr>
        <w:t xml:space="preserve"> μετρητών</w:t>
      </w:r>
      <w:r w:rsidR="00CD5433" w:rsidRPr="00576BE8">
        <w:rPr>
          <w:rFonts w:eastAsia="Arial"/>
          <w:color w:val="auto"/>
          <w:sz w:val="22"/>
          <w:szCs w:val="22"/>
        </w:rPr>
        <w:t xml:space="preserve"> </w:t>
      </w:r>
      <w:r w:rsidR="00B46AEF" w:rsidRPr="00576BE8">
        <w:rPr>
          <w:rFonts w:eastAsia="Arial"/>
          <w:color w:val="auto"/>
          <w:sz w:val="22"/>
          <w:szCs w:val="22"/>
        </w:rPr>
        <w:t xml:space="preserve">ύψους </w:t>
      </w:r>
      <w:r w:rsidR="00E6007D" w:rsidRPr="00576BE8">
        <w:rPr>
          <w:rFonts w:eastAsia="Arial"/>
          <w:color w:val="auto"/>
          <w:sz w:val="22"/>
          <w:szCs w:val="22"/>
        </w:rPr>
        <w:t>€</w:t>
      </w:r>
      <w:r w:rsidR="00050D09">
        <w:rPr>
          <w:rFonts w:eastAsia="Arial"/>
          <w:color w:val="auto"/>
          <w:sz w:val="22"/>
          <w:szCs w:val="22"/>
        </w:rPr>
        <w:t>8</w:t>
      </w:r>
      <w:r w:rsidR="00D16F58" w:rsidRPr="00576BE8">
        <w:rPr>
          <w:rFonts w:eastAsia="Arial"/>
          <w:color w:val="auto"/>
          <w:sz w:val="22"/>
          <w:szCs w:val="22"/>
        </w:rPr>
        <w:t>0</w:t>
      </w:r>
      <w:r w:rsidR="00E6007D" w:rsidRPr="00576BE8">
        <w:rPr>
          <w:rFonts w:eastAsia="Arial"/>
          <w:color w:val="auto"/>
          <w:sz w:val="22"/>
          <w:szCs w:val="22"/>
        </w:rPr>
        <w:t>εκ</w:t>
      </w:r>
      <w:r w:rsidR="002A2CA7" w:rsidRPr="00576BE8">
        <w:rPr>
          <w:rFonts w:eastAsia="Arial"/>
          <w:color w:val="EE0000"/>
          <w:sz w:val="22"/>
          <w:szCs w:val="22"/>
        </w:rPr>
        <w:t xml:space="preserve">. </w:t>
      </w:r>
      <w:r w:rsidR="00CD5433" w:rsidRPr="00576BE8">
        <w:rPr>
          <w:rFonts w:eastAsia="Arial"/>
          <w:color w:val="auto"/>
          <w:sz w:val="22"/>
          <w:szCs w:val="22"/>
        </w:rPr>
        <w:t xml:space="preserve">για </w:t>
      </w:r>
      <w:r w:rsidRPr="00576BE8">
        <w:rPr>
          <w:rFonts w:eastAsia="Arial"/>
          <w:color w:val="auto"/>
          <w:sz w:val="22"/>
          <w:szCs w:val="22"/>
        </w:rPr>
        <w:t>σκοπούς χρηματοδότησης</w:t>
      </w:r>
      <w:r w:rsidR="00CD5433" w:rsidRPr="00576BE8">
        <w:rPr>
          <w:rFonts w:eastAsia="Arial"/>
          <w:color w:val="auto"/>
          <w:sz w:val="22"/>
          <w:szCs w:val="22"/>
        </w:rPr>
        <w:t xml:space="preserve"> του Σχεδίου </w:t>
      </w:r>
      <w:r w:rsidR="007F28C6" w:rsidRPr="00A47B7D">
        <w:rPr>
          <w:rFonts w:eastAsia="Arial"/>
          <w:color w:val="auto"/>
          <w:sz w:val="22"/>
          <w:szCs w:val="22"/>
        </w:rPr>
        <w:t>‘</w:t>
      </w:r>
      <w:r w:rsidR="00CD5433" w:rsidRPr="00576BE8">
        <w:rPr>
          <w:rFonts w:eastAsia="Arial"/>
          <w:color w:val="auto"/>
          <w:sz w:val="22"/>
          <w:szCs w:val="22"/>
        </w:rPr>
        <w:t>Ενοίκιο Έναντι Δόσης</w:t>
      </w:r>
      <w:r w:rsidR="007F28C6" w:rsidRPr="00A47B7D">
        <w:rPr>
          <w:rFonts w:eastAsia="Arial"/>
          <w:color w:val="auto"/>
          <w:sz w:val="22"/>
          <w:szCs w:val="22"/>
        </w:rPr>
        <w:t>’</w:t>
      </w:r>
      <w:r w:rsidR="00CD5433" w:rsidRPr="00576BE8">
        <w:rPr>
          <w:rFonts w:eastAsia="Arial"/>
          <w:color w:val="auto"/>
          <w:sz w:val="22"/>
          <w:szCs w:val="22"/>
        </w:rPr>
        <w:t>.</w:t>
      </w:r>
    </w:p>
    <w:p w14:paraId="7D91359D" w14:textId="77777777" w:rsidR="008913FE" w:rsidRPr="007C5037" w:rsidRDefault="008913FE" w:rsidP="00B736C7">
      <w:pPr>
        <w:pStyle w:val="Default"/>
        <w:contextualSpacing/>
        <w:jc w:val="both"/>
        <w:rPr>
          <w:rFonts w:eastAsia="Arial"/>
          <w:color w:val="auto"/>
          <w:sz w:val="22"/>
          <w:szCs w:val="22"/>
        </w:rPr>
      </w:pPr>
    </w:p>
    <w:p w14:paraId="1C6DE41A" w14:textId="77777777" w:rsidR="00576BE8" w:rsidRPr="00700564" w:rsidRDefault="00576BE8" w:rsidP="00576BE8">
      <w:pPr>
        <w:pStyle w:val="Default"/>
        <w:adjustRightInd/>
        <w:contextualSpacing/>
        <w:jc w:val="both"/>
        <w:rPr>
          <w:rFonts w:eastAsia="Arial"/>
          <w:color w:val="auto"/>
          <w:sz w:val="22"/>
          <w:szCs w:val="22"/>
        </w:rPr>
      </w:pPr>
    </w:p>
    <w:p w14:paraId="3ED4716B" w14:textId="68101923" w:rsidR="00576BE8" w:rsidRPr="00A47B7D" w:rsidRDefault="00576BE8" w:rsidP="00576BE8">
      <w:pPr>
        <w:pStyle w:val="Default"/>
        <w:adjustRightInd/>
        <w:contextualSpacing/>
        <w:jc w:val="both"/>
        <w:rPr>
          <w:b/>
          <w:bCs/>
          <w:color w:val="auto"/>
          <w:sz w:val="22"/>
          <w:szCs w:val="22"/>
        </w:rPr>
      </w:pPr>
      <w:r w:rsidRPr="00700564">
        <w:rPr>
          <w:b/>
          <w:bCs/>
          <w:color w:val="auto"/>
          <w:sz w:val="22"/>
          <w:szCs w:val="22"/>
          <w:u w:val="single"/>
        </w:rPr>
        <w:t xml:space="preserve">Σχέδιο </w:t>
      </w:r>
      <w:r w:rsidR="00A47B7D" w:rsidRPr="00A47B7D">
        <w:rPr>
          <w:b/>
          <w:bCs/>
          <w:color w:val="auto"/>
          <w:sz w:val="22"/>
          <w:szCs w:val="22"/>
          <w:u w:val="single"/>
        </w:rPr>
        <w:t>‘</w:t>
      </w:r>
      <w:r w:rsidRPr="00700564">
        <w:rPr>
          <w:b/>
          <w:bCs/>
          <w:color w:val="auto"/>
          <w:sz w:val="22"/>
          <w:szCs w:val="22"/>
          <w:u w:val="single"/>
        </w:rPr>
        <w:t>Ενοίκιο Έναντι Δόσης</w:t>
      </w:r>
      <w:r w:rsidR="00A47B7D" w:rsidRPr="00A47B7D">
        <w:rPr>
          <w:b/>
          <w:bCs/>
          <w:color w:val="auto"/>
          <w:sz w:val="22"/>
          <w:szCs w:val="22"/>
          <w:u w:val="single"/>
        </w:rPr>
        <w:t>’</w:t>
      </w:r>
    </w:p>
    <w:p w14:paraId="770FE3A5" w14:textId="77777777" w:rsidR="00576BE8" w:rsidRDefault="00576BE8" w:rsidP="00576BE8">
      <w:pPr>
        <w:pStyle w:val="Default"/>
        <w:adjustRightInd/>
        <w:contextualSpacing/>
        <w:jc w:val="both"/>
        <w:rPr>
          <w:color w:val="auto"/>
          <w:sz w:val="22"/>
          <w:szCs w:val="22"/>
        </w:rPr>
      </w:pPr>
    </w:p>
    <w:p w14:paraId="379D1F9D" w14:textId="0CCF6423" w:rsidR="00576BE8" w:rsidRDefault="00576BE8" w:rsidP="00576BE8">
      <w:pPr>
        <w:pStyle w:val="Default"/>
        <w:tabs>
          <w:tab w:val="left" w:pos="2410"/>
        </w:tabs>
        <w:contextualSpacing/>
        <w:jc w:val="both"/>
        <w:rPr>
          <w:sz w:val="22"/>
          <w:szCs w:val="22"/>
        </w:rPr>
      </w:pPr>
      <w:r w:rsidRPr="00E4689F">
        <w:rPr>
          <w:rFonts w:eastAsia="Arial"/>
          <w:color w:val="auto"/>
          <w:sz w:val="22"/>
          <w:szCs w:val="22"/>
        </w:rPr>
        <w:t xml:space="preserve">Σχετικά με τις εξελίξεις του Σχεδίου </w:t>
      </w:r>
      <w:r w:rsidR="00A47B7D" w:rsidRPr="00A47B7D">
        <w:rPr>
          <w:rFonts w:eastAsia="Arial"/>
          <w:color w:val="auto"/>
          <w:sz w:val="22"/>
          <w:szCs w:val="22"/>
        </w:rPr>
        <w:t>‘</w:t>
      </w:r>
      <w:r w:rsidRPr="00E4689F">
        <w:rPr>
          <w:rFonts w:eastAsia="Arial"/>
          <w:color w:val="auto"/>
          <w:sz w:val="22"/>
          <w:szCs w:val="22"/>
        </w:rPr>
        <w:t xml:space="preserve">Ενοίκιο Έναντι Δόσης’ του οποίου η ΚΕΔΙΠΕΣ είναι ο φορέας υλοποίησης, </w:t>
      </w:r>
      <w:r w:rsidRPr="00E4689F">
        <w:rPr>
          <w:color w:val="auto"/>
          <w:sz w:val="22"/>
          <w:szCs w:val="22"/>
        </w:rPr>
        <w:t xml:space="preserve">στο σύνολο των </w:t>
      </w:r>
      <w:r w:rsidRPr="00AD00E3">
        <w:rPr>
          <w:color w:val="auto"/>
          <w:sz w:val="22"/>
          <w:szCs w:val="22"/>
        </w:rPr>
        <w:t>2</w:t>
      </w:r>
      <w:r w:rsidR="00446BCB">
        <w:rPr>
          <w:color w:val="auto"/>
          <w:sz w:val="22"/>
          <w:szCs w:val="22"/>
        </w:rPr>
        <w:t>.</w:t>
      </w:r>
      <w:r w:rsidR="009D71F3">
        <w:rPr>
          <w:color w:val="auto"/>
          <w:sz w:val="22"/>
          <w:szCs w:val="22"/>
        </w:rPr>
        <w:t>09</w:t>
      </w:r>
      <w:r w:rsidR="00C2168B" w:rsidRPr="00CB0CCC">
        <w:rPr>
          <w:color w:val="auto"/>
          <w:sz w:val="22"/>
          <w:szCs w:val="22"/>
        </w:rPr>
        <w:t>1</w:t>
      </w:r>
      <w:r w:rsidRPr="00E4689F">
        <w:rPr>
          <w:color w:val="EE0000"/>
          <w:sz w:val="22"/>
          <w:szCs w:val="22"/>
        </w:rPr>
        <w:t xml:space="preserve">  </w:t>
      </w:r>
      <w:r w:rsidRPr="00E4689F">
        <w:rPr>
          <w:color w:val="auto"/>
          <w:sz w:val="22"/>
          <w:szCs w:val="22"/>
        </w:rPr>
        <w:t>αιτήσεων που δεν έχουν απορριφθεί ή αποσυρθεί, έχουν</w:t>
      </w:r>
      <w:r w:rsidR="005D0BCA">
        <w:rPr>
          <w:color w:val="auto"/>
          <w:sz w:val="22"/>
          <w:szCs w:val="22"/>
        </w:rPr>
        <w:t xml:space="preserve"> μέχρι σήμερα</w:t>
      </w:r>
      <w:r w:rsidRPr="00E4689F">
        <w:rPr>
          <w:color w:val="auto"/>
          <w:sz w:val="22"/>
          <w:szCs w:val="22"/>
        </w:rPr>
        <w:t xml:space="preserve"> </w:t>
      </w:r>
      <w:r w:rsidRPr="009D71F3">
        <w:rPr>
          <w:color w:val="auto"/>
          <w:sz w:val="22"/>
          <w:szCs w:val="22"/>
        </w:rPr>
        <w:t xml:space="preserve">εγκριθεί </w:t>
      </w:r>
      <w:r w:rsidR="00C2168B" w:rsidRPr="00CB0CCC">
        <w:rPr>
          <w:color w:val="auto"/>
          <w:sz w:val="22"/>
          <w:szCs w:val="22"/>
        </w:rPr>
        <w:t>921</w:t>
      </w:r>
      <w:r w:rsidRPr="009D71F3">
        <w:rPr>
          <w:color w:val="auto"/>
          <w:sz w:val="22"/>
          <w:szCs w:val="22"/>
        </w:rPr>
        <w:t xml:space="preserve"> αιτήσεις</w:t>
      </w:r>
      <w:r w:rsidR="00A47B7D" w:rsidRPr="009D71F3">
        <w:rPr>
          <w:color w:val="auto"/>
          <w:sz w:val="22"/>
          <w:szCs w:val="22"/>
        </w:rPr>
        <w:t xml:space="preserve"> </w:t>
      </w:r>
      <w:r w:rsidRPr="009D71F3">
        <w:rPr>
          <w:color w:val="auto"/>
          <w:sz w:val="22"/>
          <w:szCs w:val="22"/>
        </w:rPr>
        <w:t>ενώ</w:t>
      </w:r>
      <w:r w:rsidRPr="009D71F3">
        <w:rPr>
          <w:color w:val="auto"/>
          <w:sz w:val="22"/>
          <w:szCs w:val="22"/>
          <w:lang w:val="en-US"/>
        </w:rPr>
        <w:t> </w:t>
      </w:r>
      <w:r w:rsidR="009D71F3" w:rsidRPr="00640025">
        <w:rPr>
          <w:color w:val="auto"/>
          <w:sz w:val="22"/>
          <w:szCs w:val="22"/>
        </w:rPr>
        <w:t>4</w:t>
      </w:r>
      <w:r w:rsidR="00C2168B" w:rsidRPr="00CB0CCC">
        <w:rPr>
          <w:color w:val="auto"/>
          <w:sz w:val="22"/>
          <w:szCs w:val="22"/>
        </w:rPr>
        <w:t>71</w:t>
      </w:r>
      <w:r w:rsidRPr="00AD00E3">
        <w:rPr>
          <w:color w:val="auto"/>
          <w:sz w:val="22"/>
          <w:szCs w:val="22"/>
        </w:rPr>
        <w:t xml:space="preserve"> </w:t>
      </w:r>
      <w:r w:rsidRPr="00E4689F">
        <w:rPr>
          <w:sz w:val="22"/>
          <w:szCs w:val="22"/>
        </w:rPr>
        <w:t>κατοικίες έχουν ήδη αποκτηθεί.</w:t>
      </w:r>
      <w:r w:rsidR="004D4434">
        <w:rPr>
          <w:sz w:val="22"/>
          <w:szCs w:val="22"/>
        </w:rPr>
        <w:t xml:space="preserve"> Έ</w:t>
      </w:r>
      <w:r w:rsidRPr="00E4689F">
        <w:rPr>
          <w:sz w:val="22"/>
          <w:szCs w:val="22"/>
        </w:rPr>
        <w:t xml:space="preserve">νας σημαντικός αριθμός αιτήσεων </w:t>
      </w:r>
      <w:r w:rsidRPr="009D71F3">
        <w:rPr>
          <w:sz w:val="22"/>
          <w:szCs w:val="22"/>
        </w:rPr>
        <w:t>(</w:t>
      </w:r>
      <w:r w:rsidR="009D71F3" w:rsidRPr="00640025">
        <w:rPr>
          <w:sz w:val="22"/>
          <w:szCs w:val="22"/>
        </w:rPr>
        <w:t>5</w:t>
      </w:r>
      <w:r w:rsidR="00C2168B" w:rsidRPr="00CB0CCC">
        <w:rPr>
          <w:sz w:val="22"/>
          <w:szCs w:val="22"/>
        </w:rPr>
        <w:t>76</w:t>
      </w:r>
      <w:r w:rsidRPr="009D71F3">
        <w:rPr>
          <w:sz w:val="22"/>
          <w:szCs w:val="22"/>
        </w:rPr>
        <w:t xml:space="preserve">) </w:t>
      </w:r>
      <w:r w:rsidR="00446BCB">
        <w:rPr>
          <w:sz w:val="22"/>
          <w:szCs w:val="22"/>
        </w:rPr>
        <w:t xml:space="preserve">βρίσκεται </w:t>
      </w:r>
      <w:r w:rsidRPr="009D71F3">
        <w:rPr>
          <w:sz w:val="22"/>
          <w:szCs w:val="22"/>
        </w:rPr>
        <w:t xml:space="preserve">στο στάδιο της τεχνικής αξιολόγησης </w:t>
      </w:r>
      <w:r w:rsidRPr="00640025">
        <w:rPr>
          <w:sz w:val="22"/>
          <w:szCs w:val="22"/>
        </w:rPr>
        <w:t>όπου</w:t>
      </w:r>
      <w:r w:rsidR="009F51F8" w:rsidRPr="00640025">
        <w:rPr>
          <w:sz w:val="22"/>
          <w:szCs w:val="22"/>
        </w:rPr>
        <w:t xml:space="preserve"> </w:t>
      </w:r>
      <w:r w:rsidR="00BF0CBC" w:rsidRPr="00640025">
        <w:rPr>
          <w:sz w:val="22"/>
          <w:szCs w:val="22"/>
        </w:rPr>
        <w:t xml:space="preserve">το τελευταίο τρίμηνο </w:t>
      </w:r>
      <w:r w:rsidR="009F51F8" w:rsidRPr="00640025">
        <w:rPr>
          <w:sz w:val="22"/>
          <w:szCs w:val="22"/>
        </w:rPr>
        <w:t>έχει</w:t>
      </w:r>
      <w:r w:rsidRPr="00640025">
        <w:rPr>
          <w:sz w:val="22"/>
          <w:szCs w:val="22"/>
        </w:rPr>
        <w:t xml:space="preserve"> </w:t>
      </w:r>
      <w:r w:rsidR="009F51F8" w:rsidRPr="00640025">
        <w:rPr>
          <w:sz w:val="22"/>
          <w:szCs w:val="22"/>
        </w:rPr>
        <w:t xml:space="preserve">παρατηρηθεί </w:t>
      </w:r>
      <w:r w:rsidRPr="00640025">
        <w:rPr>
          <w:sz w:val="22"/>
          <w:szCs w:val="22"/>
        </w:rPr>
        <w:t xml:space="preserve">σημαντική </w:t>
      </w:r>
      <w:r w:rsidR="009F51F8" w:rsidRPr="00640025">
        <w:rPr>
          <w:sz w:val="22"/>
          <w:szCs w:val="22"/>
        </w:rPr>
        <w:t xml:space="preserve">βελτίωση </w:t>
      </w:r>
      <w:r w:rsidR="00BF0CBC" w:rsidRPr="00640025">
        <w:rPr>
          <w:sz w:val="22"/>
          <w:szCs w:val="22"/>
        </w:rPr>
        <w:t xml:space="preserve">στην </w:t>
      </w:r>
      <w:r w:rsidRPr="00640025">
        <w:rPr>
          <w:sz w:val="22"/>
          <w:szCs w:val="22"/>
        </w:rPr>
        <w:t>ολοκλήρωση της διαδικασίας.</w:t>
      </w:r>
      <w:r w:rsidRPr="009D71F3">
        <w:rPr>
          <w:sz w:val="22"/>
          <w:szCs w:val="22"/>
        </w:rPr>
        <w:t xml:space="preserve"> Τ</w:t>
      </w:r>
      <w:r>
        <w:rPr>
          <w:sz w:val="22"/>
          <w:szCs w:val="22"/>
        </w:rPr>
        <w:t xml:space="preserve">ο Σχέδιο παραμένει εντός του αναθεωρημένου πλάνου για </w:t>
      </w:r>
      <w:r w:rsidRPr="008A7DCA">
        <w:rPr>
          <w:sz w:val="22"/>
          <w:szCs w:val="22"/>
        </w:rPr>
        <w:t>έγκριση 1600 αιτήσεων</w:t>
      </w:r>
      <w:r w:rsidR="00FD5084" w:rsidRPr="008A7DCA">
        <w:rPr>
          <w:sz w:val="22"/>
          <w:szCs w:val="22"/>
        </w:rPr>
        <w:t xml:space="preserve">, </w:t>
      </w:r>
      <w:r w:rsidR="008A7DCA" w:rsidRPr="008A7DCA">
        <w:rPr>
          <w:sz w:val="22"/>
          <w:szCs w:val="22"/>
        </w:rPr>
        <w:t xml:space="preserve">αριθμός </w:t>
      </w:r>
      <w:r w:rsidR="00322B79" w:rsidRPr="008A7DCA">
        <w:rPr>
          <w:sz w:val="22"/>
          <w:szCs w:val="22"/>
        </w:rPr>
        <w:t xml:space="preserve">διπλάσιος </w:t>
      </w:r>
      <w:r w:rsidR="008A7DCA" w:rsidRPr="008A7DCA">
        <w:rPr>
          <w:sz w:val="22"/>
          <w:szCs w:val="22"/>
        </w:rPr>
        <w:t>από τ</w:t>
      </w:r>
      <w:r w:rsidR="00322B79">
        <w:rPr>
          <w:sz w:val="22"/>
          <w:szCs w:val="22"/>
        </w:rPr>
        <w:t>ην αρχική εκτίμηση</w:t>
      </w:r>
      <w:r w:rsidRPr="008A7DCA">
        <w:rPr>
          <w:sz w:val="22"/>
          <w:szCs w:val="22"/>
        </w:rPr>
        <w:t xml:space="preserve"> </w:t>
      </w:r>
      <w:r w:rsidR="008A7DCA" w:rsidRPr="008A7DCA">
        <w:rPr>
          <w:sz w:val="22"/>
          <w:szCs w:val="22"/>
        </w:rPr>
        <w:t xml:space="preserve">που </w:t>
      </w:r>
      <w:r w:rsidRPr="008A7DCA">
        <w:rPr>
          <w:sz w:val="22"/>
          <w:szCs w:val="22"/>
        </w:rPr>
        <w:t>ήταν για 800</w:t>
      </w:r>
      <w:r w:rsidR="0003791B">
        <w:rPr>
          <w:sz w:val="22"/>
          <w:szCs w:val="22"/>
        </w:rPr>
        <w:t xml:space="preserve"> εγκρίσεις</w:t>
      </w:r>
      <w:r w:rsidRPr="008A7DCA">
        <w:rPr>
          <w:sz w:val="22"/>
          <w:szCs w:val="22"/>
        </w:rPr>
        <w:t xml:space="preserve">. </w:t>
      </w:r>
    </w:p>
    <w:p w14:paraId="1AAC4E15" w14:textId="77777777" w:rsidR="00425396" w:rsidRDefault="00425396" w:rsidP="00576BE8">
      <w:pPr>
        <w:pStyle w:val="Default"/>
        <w:tabs>
          <w:tab w:val="left" w:pos="2410"/>
        </w:tabs>
        <w:contextualSpacing/>
        <w:jc w:val="both"/>
        <w:rPr>
          <w:sz w:val="22"/>
          <w:szCs w:val="22"/>
        </w:rPr>
      </w:pPr>
    </w:p>
    <w:p w14:paraId="2291B45D" w14:textId="61F51A0F" w:rsidR="00425396" w:rsidRPr="008A7DCA" w:rsidRDefault="00425396" w:rsidP="00576BE8">
      <w:pPr>
        <w:pStyle w:val="Default"/>
        <w:tabs>
          <w:tab w:val="left" w:pos="2410"/>
        </w:tabs>
        <w:contextualSpacing/>
        <w:jc w:val="both"/>
        <w:rPr>
          <w:rFonts w:eastAsia="Arial"/>
          <w:color w:val="EE0000"/>
          <w:sz w:val="22"/>
          <w:szCs w:val="22"/>
        </w:rPr>
      </w:pPr>
      <w:r w:rsidRPr="00CB0CCC">
        <w:rPr>
          <w:color w:val="auto"/>
          <w:sz w:val="22"/>
          <w:szCs w:val="22"/>
        </w:rPr>
        <w:t xml:space="preserve">Η  μέχρι σήμερα δαπάνη για την υλοποίησή του Σχεδίου </w:t>
      </w:r>
      <w:r w:rsidR="008A03A5" w:rsidRPr="00CB0CCC">
        <w:rPr>
          <w:color w:val="auto"/>
          <w:sz w:val="22"/>
          <w:szCs w:val="22"/>
        </w:rPr>
        <w:t>‘</w:t>
      </w:r>
      <w:r w:rsidRPr="00CB0CCC">
        <w:rPr>
          <w:color w:val="auto"/>
          <w:sz w:val="22"/>
          <w:szCs w:val="22"/>
        </w:rPr>
        <w:t>Ενοίκιο Έναντι Δόσης’ ανήλθε στα €</w:t>
      </w:r>
      <w:r w:rsidR="00BF0CBC" w:rsidRPr="00CB0CCC">
        <w:rPr>
          <w:color w:val="auto"/>
          <w:sz w:val="22"/>
          <w:szCs w:val="22"/>
        </w:rPr>
        <w:t>5</w:t>
      </w:r>
      <w:r w:rsidR="00C2168B" w:rsidRPr="00CB0CCC">
        <w:rPr>
          <w:color w:val="auto"/>
          <w:sz w:val="22"/>
          <w:szCs w:val="22"/>
        </w:rPr>
        <w:t>7</w:t>
      </w:r>
      <w:r w:rsidRPr="00C2168B">
        <w:rPr>
          <w:color w:val="auto"/>
          <w:sz w:val="22"/>
          <w:szCs w:val="22"/>
        </w:rPr>
        <w:t xml:space="preserve">εκ., για την ένταξη των </w:t>
      </w:r>
      <w:r w:rsidR="003D1B68" w:rsidRPr="00CB0CCC">
        <w:rPr>
          <w:color w:val="auto"/>
          <w:sz w:val="22"/>
          <w:szCs w:val="22"/>
        </w:rPr>
        <w:t>4</w:t>
      </w:r>
      <w:r w:rsidR="00C2168B" w:rsidRPr="00CB0CCC">
        <w:rPr>
          <w:color w:val="auto"/>
          <w:sz w:val="22"/>
          <w:szCs w:val="22"/>
        </w:rPr>
        <w:t>71</w:t>
      </w:r>
      <w:r w:rsidRPr="00C2168B">
        <w:rPr>
          <w:color w:val="auto"/>
          <w:sz w:val="22"/>
          <w:szCs w:val="22"/>
        </w:rPr>
        <w:t xml:space="preserve"> κατοικιών </w:t>
      </w:r>
      <w:r w:rsidRPr="00CB0CCC">
        <w:rPr>
          <w:color w:val="auto"/>
          <w:sz w:val="22"/>
          <w:szCs w:val="22"/>
        </w:rPr>
        <w:t>στο Σχέδιο</w:t>
      </w:r>
      <w:r w:rsidR="00177FF2">
        <w:rPr>
          <w:sz w:val="22"/>
          <w:szCs w:val="22"/>
        </w:rPr>
        <w:t>.</w:t>
      </w:r>
      <w:r w:rsidRPr="00425396">
        <w:rPr>
          <w:sz w:val="22"/>
          <w:szCs w:val="22"/>
        </w:rPr>
        <w:t xml:space="preserve"> </w:t>
      </w:r>
    </w:p>
    <w:p w14:paraId="21D28874" w14:textId="77777777" w:rsidR="00576BE8" w:rsidRPr="008A7DCA" w:rsidRDefault="00576BE8" w:rsidP="00576BE8">
      <w:pPr>
        <w:pStyle w:val="Default"/>
        <w:tabs>
          <w:tab w:val="left" w:pos="2410"/>
        </w:tabs>
        <w:ind w:left="720"/>
        <w:contextualSpacing/>
        <w:jc w:val="both"/>
        <w:rPr>
          <w:rFonts w:eastAsia="Arial"/>
          <w:color w:val="EE0000"/>
          <w:sz w:val="22"/>
          <w:szCs w:val="22"/>
        </w:rPr>
      </w:pPr>
    </w:p>
    <w:p w14:paraId="62A833C4" w14:textId="148D5BD0" w:rsidR="00576BE8" w:rsidRDefault="00576BE8" w:rsidP="00C56475">
      <w:pPr>
        <w:pStyle w:val="Default"/>
        <w:tabs>
          <w:tab w:val="left" w:pos="2410"/>
        </w:tabs>
        <w:contextualSpacing/>
        <w:jc w:val="both"/>
        <w:rPr>
          <w:rFonts w:eastAsia="Arial"/>
          <w:b/>
          <w:bCs/>
          <w:color w:val="auto"/>
          <w:sz w:val="22"/>
          <w:szCs w:val="22"/>
        </w:rPr>
      </w:pPr>
      <w:r w:rsidRPr="008A7DCA">
        <w:rPr>
          <w:rFonts w:eastAsia="Arial"/>
          <w:b/>
          <w:bCs/>
          <w:color w:val="auto"/>
          <w:sz w:val="22"/>
          <w:szCs w:val="22"/>
          <w:u w:val="single"/>
        </w:rPr>
        <w:t>Σχέδιο Πρόωρης Εξόφλησης Ενήμερων Δανείων</w:t>
      </w:r>
      <w:r w:rsidRPr="008A7DCA">
        <w:rPr>
          <w:rFonts w:eastAsia="Arial"/>
          <w:b/>
          <w:bCs/>
          <w:color w:val="auto"/>
          <w:sz w:val="22"/>
          <w:szCs w:val="22"/>
        </w:rPr>
        <w:t>:</w:t>
      </w:r>
    </w:p>
    <w:p w14:paraId="15C988CB" w14:textId="77777777" w:rsidR="00C56475" w:rsidRPr="008A7DCA" w:rsidRDefault="00C56475" w:rsidP="00C56475">
      <w:pPr>
        <w:pStyle w:val="Default"/>
        <w:tabs>
          <w:tab w:val="left" w:pos="2410"/>
        </w:tabs>
        <w:contextualSpacing/>
        <w:jc w:val="both"/>
        <w:rPr>
          <w:rFonts w:eastAsia="Arial"/>
          <w:color w:val="auto"/>
          <w:sz w:val="22"/>
          <w:szCs w:val="22"/>
        </w:rPr>
      </w:pPr>
    </w:p>
    <w:p w14:paraId="6F474F85" w14:textId="05EB8053" w:rsidR="00576BE8" w:rsidRPr="008A7DCA" w:rsidRDefault="00576BE8" w:rsidP="008A7DCA">
      <w:pPr>
        <w:jc w:val="both"/>
        <w:rPr>
          <w:rFonts w:ascii="Arial" w:hAnsi="Arial" w:cs="Arial"/>
          <w:sz w:val="22"/>
          <w:szCs w:val="22"/>
          <w:lang w:val="el-GR"/>
        </w:rPr>
      </w:pPr>
      <w:r w:rsidRPr="008A7DCA">
        <w:rPr>
          <w:rFonts w:ascii="Arial" w:eastAsia="Arial" w:hAnsi="Arial" w:cs="Arial"/>
          <w:sz w:val="22"/>
          <w:szCs w:val="22"/>
          <w:lang w:val="el-GR"/>
        </w:rPr>
        <w:t>Η εκστρατεία του νέου Σχεδίου Πρόωρης Εξόφλησης Ενήμερων Δανείων εξαγγέλθηκε τον Ιούλιο του 2025, προσφέροντας στους δανειολήπτες τη δυνατότητα να εξοφλήσουν πλήρως τις αναδιαρθρωμένες και ενήμερες οφειλές τους. Το Σχέδιο έχει προσελκύσει έντονο ενδιαφέρον, και με</w:t>
      </w:r>
      <w:r w:rsidRPr="008A7DCA">
        <w:rPr>
          <w:rFonts w:ascii="Arial" w:hAnsi="Arial" w:cs="Arial"/>
          <w:sz w:val="22"/>
          <w:szCs w:val="22"/>
          <w:lang w:val="el-GR"/>
        </w:rPr>
        <w:t xml:space="preserve"> βάση τα μέχρι σήμερα διαθέσιμα στοιχεία, η ανταπόκριση υπήρξε ιδιαίτερα θετική, με ποσοστό συμμετοχής που ξεπέρασε τις αρχικές εκτιμήσεις. </w:t>
      </w:r>
      <w:r w:rsidRPr="008A7DCA">
        <w:rPr>
          <w:rFonts w:ascii="Arial" w:eastAsia="Arial" w:hAnsi="Arial" w:cs="Arial"/>
          <w:sz w:val="22"/>
          <w:szCs w:val="22"/>
          <w:lang w:val="el-GR"/>
        </w:rPr>
        <w:t xml:space="preserve">Μέσω του Σχεδίου οι δανειολήπτες επωφελούνται από σημαντική έκπτωση επί του υπολοίπου του δανείου τους, γεγονός που ενισχύει τη δυνατότητα ομαλής και ευνοϊκής εξόφλησης των υποχρεώσεών τους. Το Σχέδιο θα </w:t>
      </w:r>
      <w:r w:rsidR="00EC3415">
        <w:rPr>
          <w:rFonts w:ascii="Arial" w:eastAsia="Arial" w:hAnsi="Arial" w:cs="Arial"/>
          <w:sz w:val="22"/>
          <w:szCs w:val="22"/>
          <w:lang w:val="el-GR"/>
        </w:rPr>
        <w:t xml:space="preserve">συνεχιστεί </w:t>
      </w:r>
      <w:r w:rsidRPr="008A7DCA">
        <w:rPr>
          <w:rFonts w:ascii="Arial" w:eastAsia="Arial" w:hAnsi="Arial" w:cs="Arial"/>
          <w:sz w:val="22"/>
          <w:szCs w:val="22"/>
          <w:lang w:val="el-GR"/>
        </w:rPr>
        <w:t xml:space="preserve"> </w:t>
      </w:r>
      <w:r w:rsidR="00EC3415">
        <w:rPr>
          <w:rFonts w:ascii="Arial" w:eastAsia="Arial" w:hAnsi="Arial" w:cs="Arial"/>
          <w:sz w:val="22"/>
          <w:szCs w:val="22"/>
          <w:lang w:val="el-GR"/>
        </w:rPr>
        <w:t xml:space="preserve">για περαιτέρω περίοδο </w:t>
      </w:r>
      <w:r w:rsidR="00EC3415" w:rsidRPr="00CB0CCC">
        <w:rPr>
          <w:rFonts w:ascii="Arial" w:eastAsia="Arial" w:hAnsi="Arial" w:cs="Arial"/>
          <w:sz w:val="22"/>
          <w:szCs w:val="22"/>
          <w:lang w:val="el-GR"/>
        </w:rPr>
        <w:t xml:space="preserve">εντός </w:t>
      </w:r>
      <w:r w:rsidR="00C1021F" w:rsidRPr="00CB0CCC">
        <w:rPr>
          <w:rFonts w:ascii="Arial" w:eastAsia="Arial" w:hAnsi="Arial" w:cs="Arial"/>
          <w:sz w:val="22"/>
          <w:szCs w:val="22"/>
          <w:lang w:val="el-GR"/>
        </w:rPr>
        <w:t>το</w:t>
      </w:r>
      <w:r w:rsidR="00EC3415" w:rsidRPr="00CB0CCC">
        <w:rPr>
          <w:rFonts w:ascii="Arial" w:eastAsia="Arial" w:hAnsi="Arial" w:cs="Arial"/>
          <w:sz w:val="22"/>
          <w:szCs w:val="22"/>
          <w:lang w:val="el-GR"/>
        </w:rPr>
        <w:t>υ</w:t>
      </w:r>
      <w:r w:rsidR="00C1021F" w:rsidRPr="00CB0CCC">
        <w:rPr>
          <w:rFonts w:ascii="Arial" w:eastAsia="Arial" w:hAnsi="Arial" w:cs="Arial"/>
          <w:sz w:val="22"/>
          <w:szCs w:val="22"/>
          <w:lang w:val="el-GR"/>
        </w:rPr>
        <w:t xml:space="preserve"> 2026</w:t>
      </w:r>
      <w:r w:rsidRPr="00CB0CCC">
        <w:rPr>
          <w:rFonts w:ascii="Arial" w:eastAsia="Arial" w:hAnsi="Arial" w:cs="Arial"/>
          <w:sz w:val="22"/>
          <w:szCs w:val="22"/>
          <w:lang w:val="el-GR"/>
        </w:rPr>
        <w:t xml:space="preserve"> και</w:t>
      </w:r>
      <w:r w:rsidRPr="008A7DCA">
        <w:rPr>
          <w:rFonts w:ascii="Arial" w:eastAsia="Arial" w:hAnsi="Arial" w:cs="Arial"/>
          <w:sz w:val="22"/>
          <w:szCs w:val="22"/>
          <w:lang w:val="el-GR"/>
        </w:rPr>
        <w:t xml:space="preserve"> η πρωτοβουλία αυτή εντάσσεται στο επιχειρηματικό</w:t>
      </w:r>
      <w:r w:rsidR="008A7DCA">
        <w:rPr>
          <w:rFonts w:ascii="Arial" w:eastAsia="Arial" w:hAnsi="Arial" w:cs="Arial"/>
          <w:sz w:val="22"/>
          <w:szCs w:val="22"/>
          <w:lang w:val="el-GR"/>
        </w:rPr>
        <w:t xml:space="preserve"> </w:t>
      </w:r>
      <w:r w:rsidRPr="008A7DCA">
        <w:rPr>
          <w:rFonts w:ascii="Arial" w:eastAsia="Arial" w:hAnsi="Arial" w:cs="Arial"/>
          <w:sz w:val="22"/>
          <w:szCs w:val="22"/>
          <w:lang w:val="el-GR"/>
        </w:rPr>
        <w:t>πλάνο της ΚΕΔΙΠΕΣ, συμβάλλοντας ουσιαστικά στην επιτάχυνση της μείωσης του συνολικού χαρτοφυλακίου δανείων που διαχειρίζεται η ΚΕΔΙΠΕΣ.</w:t>
      </w:r>
    </w:p>
    <w:p w14:paraId="7DB954C1" w14:textId="77777777" w:rsidR="00215245" w:rsidRDefault="00AA7E2C" w:rsidP="00B736C7">
      <w:pPr>
        <w:pStyle w:val="Default"/>
        <w:contextualSpacing/>
        <w:jc w:val="both"/>
        <w:rPr>
          <w:rFonts w:eastAsia="Arial"/>
          <w:color w:val="auto"/>
          <w:sz w:val="22"/>
          <w:szCs w:val="22"/>
        </w:rPr>
      </w:pPr>
      <w:r w:rsidRPr="007C5037">
        <w:rPr>
          <w:rFonts w:eastAsia="Arial"/>
          <w:color w:val="auto"/>
          <w:sz w:val="22"/>
          <w:szCs w:val="22"/>
        </w:rPr>
        <w:t>Αναλυτική παρουσίαση των αποτελεσμάτων διαχείρισης μέχρι 3</w:t>
      </w:r>
      <w:r w:rsidR="00472C3B">
        <w:rPr>
          <w:rFonts w:eastAsia="Arial"/>
          <w:color w:val="auto"/>
          <w:sz w:val="22"/>
          <w:szCs w:val="22"/>
        </w:rPr>
        <w:t>1</w:t>
      </w:r>
      <w:r w:rsidRPr="007C5037">
        <w:rPr>
          <w:rFonts w:eastAsia="Arial"/>
          <w:color w:val="auto"/>
          <w:sz w:val="22"/>
          <w:szCs w:val="22"/>
        </w:rPr>
        <w:t>/</w:t>
      </w:r>
      <w:r w:rsidR="00472C3B">
        <w:rPr>
          <w:rFonts w:eastAsia="Arial"/>
          <w:color w:val="auto"/>
          <w:sz w:val="22"/>
          <w:szCs w:val="22"/>
        </w:rPr>
        <w:t>12</w:t>
      </w:r>
      <w:r w:rsidRPr="007C5037">
        <w:rPr>
          <w:rFonts w:eastAsia="Arial"/>
          <w:color w:val="auto"/>
          <w:sz w:val="22"/>
          <w:szCs w:val="22"/>
        </w:rPr>
        <w:t>/202</w:t>
      </w:r>
      <w:r w:rsidR="00F464B3">
        <w:rPr>
          <w:rFonts w:eastAsia="Arial"/>
          <w:color w:val="auto"/>
          <w:sz w:val="22"/>
          <w:szCs w:val="22"/>
        </w:rPr>
        <w:t>5</w:t>
      </w:r>
      <w:r w:rsidRPr="007C5037">
        <w:rPr>
          <w:rFonts w:eastAsia="Arial"/>
          <w:color w:val="auto"/>
          <w:sz w:val="22"/>
          <w:szCs w:val="22"/>
        </w:rPr>
        <w:t xml:space="preserve"> έχει αναρτηθεί στην ιστοσελίδα της ΚΕΔΙΠΕΣ στον σύνδεσμο:</w:t>
      </w:r>
    </w:p>
    <w:p w14:paraId="09B504D7" w14:textId="363A82D1" w:rsidR="00AA7E2C" w:rsidRPr="007C5037" w:rsidRDefault="00AA7E2C" w:rsidP="00B736C7">
      <w:pPr>
        <w:pStyle w:val="Default"/>
        <w:contextualSpacing/>
        <w:jc w:val="both"/>
        <w:rPr>
          <w:i/>
          <w:color w:val="auto"/>
          <w:sz w:val="22"/>
          <w:szCs w:val="22"/>
        </w:rPr>
      </w:pPr>
      <w:r w:rsidRPr="007C5037">
        <w:rPr>
          <w:i/>
          <w:color w:val="auto"/>
          <w:sz w:val="22"/>
          <w:szCs w:val="22"/>
        </w:rPr>
        <w:t xml:space="preserve"> </w:t>
      </w:r>
    </w:p>
    <w:p w14:paraId="4D8CA9AD" w14:textId="2F93FEF7" w:rsidR="009344EF" w:rsidRPr="007C5037" w:rsidRDefault="00852141" w:rsidP="00CB0CCC">
      <w:pPr>
        <w:rPr>
          <w:lang w:val="el-GR"/>
        </w:rPr>
      </w:pPr>
      <w:hyperlink r:id="rId9" w:history="1">
        <w:r w:rsidRPr="00E62E3F">
          <w:rPr>
            <w:rStyle w:val="Hyperlink"/>
            <w:rFonts w:ascii="Arial" w:hAnsi="Arial" w:cs="Arial"/>
            <w:sz w:val="22"/>
            <w:szCs w:val="22"/>
          </w:rPr>
          <w:t>https</w:t>
        </w:r>
        <w:r w:rsidRPr="00E62E3F">
          <w:rPr>
            <w:rStyle w:val="Hyperlink"/>
            <w:rFonts w:ascii="Arial" w:hAnsi="Arial" w:cs="Arial"/>
            <w:sz w:val="22"/>
            <w:szCs w:val="22"/>
            <w:lang w:val="el-GR"/>
          </w:rPr>
          <w:t>://</w:t>
        </w:r>
        <w:r w:rsidRPr="00E62E3F">
          <w:rPr>
            <w:rStyle w:val="Hyperlink"/>
            <w:rFonts w:ascii="Arial" w:hAnsi="Arial" w:cs="Arial"/>
            <w:sz w:val="22"/>
            <w:szCs w:val="22"/>
          </w:rPr>
          <w:t>kedipes</w:t>
        </w:r>
        <w:r w:rsidRPr="00E62E3F">
          <w:rPr>
            <w:rStyle w:val="Hyperlink"/>
            <w:rFonts w:ascii="Arial" w:hAnsi="Arial" w:cs="Arial"/>
            <w:sz w:val="22"/>
            <w:szCs w:val="22"/>
            <w:lang w:val="el-GR"/>
          </w:rPr>
          <w:t>.</w:t>
        </w:r>
        <w:r w:rsidRPr="00E62E3F">
          <w:rPr>
            <w:rStyle w:val="Hyperlink"/>
            <w:rFonts w:ascii="Arial" w:hAnsi="Arial" w:cs="Arial"/>
            <w:sz w:val="22"/>
            <w:szCs w:val="22"/>
          </w:rPr>
          <w:t>com</w:t>
        </w:r>
        <w:r w:rsidRPr="00E62E3F">
          <w:rPr>
            <w:rStyle w:val="Hyperlink"/>
            <w:rFonts w:ascii="Arial" w:hAnsi="Arial" w:cs="Arial"/>
            <w:sz w:val="22"/>
            <w:szCs w:val="22"/>
            <w:lang w:val="el-GR"/>
          </w:rPr>
          <w:t>.</w:t>
        </w:r>
        <w:r w:rsidRPr="00E62E3F">
          <w:rPr>
            <w:rStyle w:val="Hyperlink"/>
            <w:rFonts w:ascii="Arial" w:hAnsi="Arial" w:cs="Arial"/>
            <w:sz w:val="22"/>
            <w:szCs w:val="22"/>
          </w:rPr>
          <w:t>cy</w:t>
        </w:r>
        <w:r w:rsidRPr="00E62E3F">
          <w:rPr>
            <w:rStyle w:val="Hyperlink"/>
            <w:rFonts w:ascii="Arial" w:hAnsi="Arial" w:cs="Arial"/>
            <w:sz w:val="22"/>
            <w:szCs w:val="22"/>
            <w:lang w:val="el-GR"/>
          </w:rPr>
          <w:t>/αποτελεσματα-διαχειρισης/</w:t>
        </w:r>
      </w:hyperlink>
      <w:bookmarkEnd w:id="0"/>
    </w:p>
    <w:sectPr w:rsidR="009344EF" w:rsidRPr="007C5037" w:rsidSect="00750553">
      <w:footerReference w:type="default" r:id="rId10"/>
      <w:pgSz w:w="11900" w:h="16840"/>
      <w:pgMar w:top="1440" w:right="1552"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17AD" w14:textId="77777777" w:rsidR="00B1620C" w:rsidRDefault="00B1620C">
      <w:pPr>
        <w:spacing w:after="0"/>
      </w:pPr>
      <w:r>
        <w:separator/>
      </w:r>
    </w:p>
  </w:endnote>
  <w:endnote w:type="continuationSeparator" w:id="0">
    <w:p w14:paraId="65C5D03B" w14:textId="77777777" w:rsidR="00B1620C" w:rsidRDefault="00B162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976D" w14:textId="77777777" w:rsidR="00916DD1" w:rsidRPr="008F74C1" w:rsidRDefault="00094BF7" w:rsidP="008F74C1">
    <w:pPr>
      <w:pStyle w:val="Footer"/>
    </w:pPr>
    <w:r w:rsidRPr="008F74C1">
      <w:rPr>
        <w:noProof/>
      </w:rPr>
      <w:drawing>
        <wp:anchor distT="0" distB="0" distL="114300" distR="114300" simplePos="0" relativeHeight="251659264" behindDoc="1" locked="0" layoutInCell="1" allowOverlap="1" wp14:anchorId="13F267DF" wp14:editId="55879E8B">
          <wp:simplePos x="0" y="0"/>
          <wp:positionH relativeFrom="column">
            <wp:posOffset>-1143000</wp:posOffset>
          </wp:positionH>
          <wp:positionV relativeFrom="paragraph">
            <wp:posOffset>-113665</wp:posOffset>
          </wp:positionV>
          <wp:extent cx="7708900" cy="762000"/>
          <wp:effectExtent l="25400" t="0" r="0" b="0"/>
          <wp:wrapNone/>
          <wp:docPr id="1868902719" name="Picture 0" descr="deltio typou-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io typou-03.jpg"/>
                  <pic:cNvPicPr/>
                </pic:nvPicPr>
                <pic:blipFill>
                  <a:blip r:embed="rId1"/>
                  <a:stretch>
                    <a:fillRect/>
                  </a:stretch>
                </pic:blipFill>
                <pic:spPr>
                  <a:xfrm>
                    <a:off x="0" y="0"/>
                    <a:ext cx="7708900" cy="76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13CD" w14:textId="77777777" w:rsidR="00B1620C" w:rsidRDefault="00B1620C">
      <w:pPr>
        <w:spacing w:after="0"/>
      </w:pPr>
      <w:r>
        <w:separator/>
      </w:r>
    </w:p>
  </w:footnote>
  <w:footnote w:type="continuationSeparator" w:id="0">
    <w:p w14:paraId="45B603F0" w14:textId="77777777" w:rsidR="00B1620C" w:rsidRDefault="00B1620C">
      <w:pPr>
        <w:spacing w:after="0"/>
      </w:pPr>
      <w:r>
        <w:continuationSeparator/>
      </w:r>
    </w:p>
  </w:footnote>
  <w:footnote w:id="1">
    <w:p w14:paraId="453353D1" w14:textId="52C691B9" w:rsidR="00215245" w:rsidRPr="00CB0CCC" w:rsidRDefault="00215245">
      <w:pPr>
        <w:pStyle w:val="FootnoteText"/>
        <w:rPr>
          <w:lang w:val="el-GR"/>
        </w:rPr>
      </w:pPr>
      <w:r>
        <w:rPr>
          <w:rStyle w:val="FootnoteReference"/>
        </w:rPr>
        <w:footnoteRef/>
      </w:r>
      <w:r w:rsidRPr="00CB0CCC">
        <w:rPr>
          <w:lang w:val="el-GR"/>
        </w:rPr>
        <w:t xml:space="preserve"> </w:t>
      </w:r>
      <w:r>
        <w:rPr>
          <w:lang w:val="en-GB"/>
        </w:rPr>
        <w:t>Asset</w:t>
      </w:r>
      <w:r w:rsidRPr="00CB0CCC">
        <w:rPr>
          <w:lang w:val="el-GR"/>
        </w:rPr>
        <w:t xml:space="preserve"> </w:t>
      </w:r>
      <w:r>
        <w:rPr>
          <w:lang w:val="en-GB"/>
        </w:rPr>
        <w:t>Protection</w:t>
      </w:r>
      <w:r w:rsidRPr="00CB0CCC">
        <w:rPr>
          <w:lang w:val="el-GR"/>
        </w:rPr>
        <w:t xml:space="preserve"> </w:t>
      </w:r>
      <w:r>
        <w:rPr>
          <w:lang w:val="en-GB"/>
        </w:rPr>
        <w:t>Scheme</w:t>
      </w:r>
    </w:p>
  </w:footnote>
  <w:footnote w:id="2">
    <w:p w14:paraId="42DEE447" w14:textId="36A6B251" w:rsidR="00D14A25" w:rsidRPr="00CB0CCC" w:rsidRDefault="00D14A25" w:rsidP="00CB0CCC">
      <w:pPr>
        <w:pStyle w:val="FootnoteText"/>
        <w:jc w:val="both"/>
        <w:rPr>
          <w:lang w:val="el-GR"/>
        </w:rPr>
      </w:pPr>
      <w:r>
        <w:rPr>
          <w:rStyle w:val="FootnoteReference"/>
        </w:rPr>
        <w:footnoteRef/>
      </w:r>
      <w:r w:rsidRPr="00CB0CCC">
        <w:rPr>
          <w:lang w:val="el-GR"/>
        </w:rPr>
        <w:t xml:space="preserve"> </w:t>
      </w:r>
      <w:r w:rsidRPr="00E124D9">
        <w:rPr>
          <w:rFonts w:ascii="Arial" w:eastAsia="Arial" w:hAnsi="Arial" w:cs="Arial"/>
          <w:sz w:val="18"/>
          <w:szCs w:val="18"/>
          <w:lang w:val="el-GR"/>
        </w:rPr>
        <w:t xml:space="preserve">Εκτενέστερη πληροφόρηση δίδεται στο σημερινό Δελτίο Τύπου </w:t>
      </w:r>
      <w:r w:rsidRPr="00AB18C7">
        <w:rPr>
          <w:rFonts w:ascii="Arial" w:eastAsia="Arial" w:hAnsi="Arial" w:cs="Arial"/>
          <w:sz w:val="18"/>
          <w:szCs w:val="18"/>
          <w:lang w:val="el-GR"/>
        </w:rPr>
        <w:t>“</w:t>
      </w:r>
      <w:r w:rsidRPr="00E124D9">
        <w:rPr>
          <w:rFonts w:ascii="Arial" w:eastAsia="Arial" w:hAnsi="Arial" w:cs="Arial"/>
          <w:sz w:val="18"/>
          <w:szCs w:val="18"/>
          <w:lang w:val="el-GR"/>
        </w:rPr>
        <w:t xml:space="preserve">Ολοκλήρωση συμφωνιών με </w:t>
      </w:r>
      <w:r w:rsidRPr="00E124D9">
        <w:rPr>
          <w:rFonts w:ascii="Arial" w:eastAsia="Arial" w:hAnsi="Arial" w:cs="Arial"/>
          <w:sz w:val="18"/>
          <w:szCs w:val="18"/>
        </w:rPr>
        <w:t>Eurobank</w:t>
      </w:r>
      <w:r w:rsidRPr="00E124D9">
        <w:rPr>
          <w:rFonts w:ascii="Arial" w:eastAsia="Arial" w:hAnsi="Arial" w:cs="Arial"/>
          <w:sz w:val="18"/>
          <w:szCs w:val="18"/>
          <w:lang w:val="el-GR"/>
        </w:rPr>
        <w:t xml:space="preserve"> </w:t>
      </w:r>
      <w:r w:rsidR="00215245">
        <w:rPr>
          <w:rFonts w:ascii="Arial" w:eastAsia="Arial" w:hAnsi="Arial" w:cs="Arial"/>
          <w:sz w:val="18"/>
          <w:szCs w:val="18"/>
          <w:lang w:val="en-GB"/>
        </w:rPr>
        <w:t>Limited</w:t>
      </w:r>
      <w:r w:rsidRPr="00E124D9">
        <w:rPr>
          <w:rFonts w:ascii="Arial" w:eastAsia="Arial" w:hAnsi="Arial" w:cs="Arial"/>
          <w:sz w:val="18"/>
          <w:szCs w:val="18"/>
          <w:lang w:val="el-GR"/>
        </w:rPr>
        <w:t xml:space="preserve"> για τερματισμό του Σχεδίου Εγγύησης Δανείων και την επαναγορά σχετικού χαρτοφυλακίου μη-εξυπηρετούμενων δανείων καθώς και για τερματισμό των υποχρεώσεων σε σχέση με τη Συμφωνία Μεταφοράς Περιουσιακών Στοιχείων</w:t>
      </w:r>
      <w:r w:rsidRPr="00AB18C7">
        <w:rPr>
          <w:rFonts w:ascii="Arial" w:eastAsia="Arial" w:hAnsi="Arial" w:cs="Arial"/>
          <w:sz w:val="18"/>
          <w:szCs w:val="18"/>
          <w:lang w:val="el-GR"/>
        </w:rPr>
        <w:t>”.</w:t>
      </w:r>
    </w:p>
  </w:footnote>
  <w:footnote w:id="3">
    <w:p w14:paraId="65454528" w14:textId="78602877" w:rsidR="009B61E5" w:rsidRPr="00CB0CCC" w:rsidRDefault="009B61E5">
      <w:pPr>
        <w:pStyle w:val="FootnoteText"/>
        <w:rPr>
          <w:lang w:val="el-GR"/>
        </w:rPr>
      </w:pPr>
      <w:r>
        <w:rPr>
          <w:rStyle w:val="FootnoteReference"/>
        </w:rPr>
        <w:footnoteRef/>
      </w:r>
      <w:r w:rsidRPr="00CB0CCC">
        <w:rPr>
          <w:lang w:val="el-GR"/>
        </w:rPr>
        <w:t xml:space="preserve"> </w:t>
      </w:r>
      <w:r>
        <w:rPr>
          <w:lang w:val="el-GR"/>
        </w:rPr>
        <w:t>Προσαρμοσμένη τιμή στις 31 Δεκεμβρίου 2025. Η τελική τιμή αγοράς θα καθοριστεί με βάση τα τελικά στοιχεία μέχρι την ημερομηνία ολοκλήρωσης, δηλαδή 30/1/2026.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63DE"/>
    <w:multiLevelType w:val="hybridMultilevel"/>
    <w:tmpl w:val="507E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33B5"/>
    <w:multiLevelType w:val="hybridMultilevel"/>
    <w:tmpl w:val="AAE6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818F1"/>
    <w:multiLevelType w:val="hybridMultilevel"/>
    <w:tmpl w:val="2B84F5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243C7"/>
    <w:multiLevelType w:val="hybridMultilevel"/>
    <w:tmpl w:val="D6D40162"/>
    <w:lvl w:ilvl="0" w:tplc="2222D3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010F3"/>
    <w:multiLevelType w:val="hybridMultilevel"/>
    <w:tmpl w:val="D2BA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E02A4"/>
    <w:multiLevelType w:val="multilevel"/>
    <w:tmpl w:val="EC9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33A2A"/>
    <w:multiLevelType w:val="hybridMultilevel"/>
    <w:tmpl w:val="17AC6A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684BF9"/>
    <w:multiLevelType w:val="hybridMultilevel"/>
    <w:tmpl w:val="84484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D41C4"/>
    <w:multiLevelType w:val="hybridMultilevel"/>
    <w:tmpl w:val="7DACC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795F61"/>
    <w:multiLevelType w:val="hybridMultilevel"/>
    <w:tmpl w:val="B7826B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2301C7"/>
    <w:multiLevelType w:val="hybridMultilevel"/>
    <w:tmpl w:val="ACC4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22AAC"/>
    <w:multiLevelType w:val="hybridMultilevel"/>
    <w:tmpl w:val="979A7B7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4192372B"/>
    <w:multiLevelType w:val="hybridMultilevel"/>
    <w:tmpl w:val="655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10F9F"/>
    <w:multiLevelType w:val="hybridMultilevel"/>
    <w:tmpl w:val="138AE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120727"/>
    <w:multiLevelType w:val="hybridMultilevel"/>
    <w:tmpl w:val="C85C0796"/>
    <w:lvl w:ilvl="0" w:tplc="04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4EA95C40"/>
    <w:multiLevelType w:val="hybridMultilevel"/>
    <w:tmpl w:val="BA54E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F6B30"/>
    <w:multiLevelType w:val="hybridMultilevel"/>
    <w:tmpl w:val="6BA8AB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6472D11"/>
    <w:multiLevelType w:val="hybridMultilevel"/>
    <w:tmpl w:val="BA2A833C"/>
    <w:lvl w:ilvl="0" w:tplc="2222D3F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4809C7"/>
    <w:multiLevelType w:val="hybridMultilevel"/>
    <w:tmpl w:val="65387334"/>
    <w:lvl w:ilvl="0" w:tplc="0409000B">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C5F69C8"/>
    <w:multiLevelType w:val="multilevel"/>
    <w:tmpl w:val="D1D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82171"/>
    <w:multiLevelType w:val="hybridMultilevel"/>
    <w:tmpl w:val="7FD8E8F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EBA5C34"/>
    <w:multiLevelType w:val="hybridMultilevel"/>
    <w:tmpl w:val="EA9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92885"/>
    <w:multiLevelType w:val="hybridMultilevel"/>
    <w:tmpl w:val="B9962AEE"/>
    <w:lvl w:ilvl="0" w:tplc="FE5CD8C6">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4477DC"/>
    <w:multiLevelType w:val="hybridMultilevel"/>
    <w:tmpl w:val="52DC2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D1A9C"/>
    <w:multiLevelType w:val="hybridMultilevel"/>
    <w:tmpl w:val="7B08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207DC6"/>
    <w:multiLevelType w:val="multilevel"/>
    <w:tmpl w:val="F62A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CF4280"/>
    <w:multiLevelType w:val="hybridMultilevel"/>
    <w:tmpl w:val="54A00B08"/>
    <w:lvl w:ilvl="0" w:tplc="799CCB3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6DA4828"/>
    <w:multiLevelType w:val="hybridMultilevel"/>
    <w:tmpl w:val="BF0A8AA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9AA33D9"/>
    <w:multiLevelType w:val="hybridMultilevel"/>
    <w:tmpl w:val="9872BEB4"/>
    <w:lvl w:ilvl="0" w:tplc="2222D3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50570"/>
    <w:multiLevelType w:val="hybridMultilevel"/>
    <w:tmpl w:val="8B92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019A3"/>
    <w:multiLevelType w:val="hybridMultilevel"/>
    <w:tmpl w:val="54DA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851917">
    <w:abstractNumId w:val="24"/>
  </w:num>
  <w:num w:numId="2" w16cid:durableId="839346424">
    <w:abstractNumId w:val="0"/>
  </w:num>
  <w:num w:numId="3" w16cid:durableId="1023625596">
    <w:abstractNumId w:val="17"/>
  </w:num>
  <w:num w:numId="4" w16cid:durableId="751007663">
    <w:abstractNumId w:val="12"/>
  </w:num>
  <w:num w:numId="5" w16cid:durableId="2045666317">
    <w:abstractNumId w:val="5"/>
  </w:num>
  <w:num w:numId="6" w16cid:durableId="1655332329">
    <w:abstractNumId w:val="29"/>
  </w:num>
  <w:num w:numId="7" w16cid:durableId="1781753797">
    <w:abstractNumId w:val="11"/>
  </w:num>
  <w:num w:numId="8" w16cid:durableId="501429842">
    <w:abstractNumId w:val="1"/>
  </w:num>
  <w:num w:numId="9" w16cid:durableId="882256058">
    <w:abstractNumId w:val="3"/>
  </w:num>
  <w:num w:numId="10" w16cid:durableId="1409307582">
    <w:abstractNumId w:val="28"/>
  </w:num>
  <w:num w:numId="11" w16cid:durableId="919173266">
    <w:abstractNumId w:val="13"/>
  </w:num>
  <w:num w:numId="12" w16cid:durableId="1285499253">
    <w:abstractNumId w:val="10"/>
  </w:num>
  <w:num w:numId="13" w16cid:durableId="1451970260">
    <w:abstractNumId w:val="21"/>
  </w:num>
  <w:num w:numId="14" w16cid:durableId="301424168">
    <w:abstractNumId w:val="22"/>
  </w:num>
  <w:num w:numId="15" w16cid:durableId="1546453422">
    <w:abstractNumId w:val="7"/>
  </w:num>
  <w:num w:numId="16" w16cid:durableId="1896118551">
    <w:abstractNumId w:val="6"/>
  </w:num>
  <w:num w:numId="17" w16cid:durableId="726882757">
    <w:abstractNumId w:val="4"/>
  </w:num>
  <w:num w:numId="18" w16cid:durableId="1993413527">
    <w:abstractNumId w:val="27"/>
  </w:num>
  <w:num w:numId="19" w16cid:durableId="463501205">
    <w:abstractNumId w:val="20"/>
  </w:num>
  <w:num w:numId="20" w16cid:durableId="1806585075">
    <w:abstractNumId w:val="16"/>
  </w:num>
  <w:num w:numId="21" w16cid:durableId="400759390">
    <w:abstractNumId w:val="18"/>
  </w:num>
  <w:num w:numId="22" w16cid:durableId="1163930587">
    <w:abstractNumId w:val="9"/>
  </w:num>
  <w:num w:numId="23" w16cid:durableId="1483080402">
    <w:abstractNumId w:val="19"/>
  </w:num>
  <w:num w:numId="24" w16cid:durableId="1478954929">
    <w:abstractNumId w:val="26"/>
  </w:num>
  <w:num w:numId="25" w16cid:durableId="17783325">
    <w:abstractNumId w:val="14"/>
  </w:num>
  <w:num w:numId="26" w16cid:durableId="1884174251">
    <w:abstractNumId w:val="25"/>
  </w:num>
  <w:num w:numId="27" w16cid:durableId="1591045217">
    <w:abstractNumId w:val="2"/>
  </w:num>
  <w:num w:numId="28" w16cid:durableId="520556097">
    <w:abstractNumId w:val="30"/>
  </w:num>
  <w:num w:numId="29" w16cid:durableId="475999253">
    <w:abstractNumId w:val="23"/>
  </w:num>
  <w:num w:numId="30" w16cid:durableId="1565409248">
    <w:abstractNumId w:val="8"/>
  </w:num>
  <w:num w:numId="31" w16cid:durableId="220748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BA"/>
    <w:rsid w:val="00001CE4"/>
    <w:rsid w:val="00001D16"/>
    <w:rsid w:val="00002E25"/>
    <w:rsid w:val="00003A59"/>
    <w:rsid w:val="000054E0"/>
    <w:rsid w:val="000054F5"/>
    <w:rsid w:val="0000615D"/>
    <w:rsid w:val="00012646"/>
    <w:rsid w:val="000137CE"/>
    <w:rsid w:val="000146B9"/>
    <w:rsid w:val="00014F89"/>
    <w:rsid w:val="000176FB"/>
    <w:rsid w:val="0002046A"/>
    <w:rsid w:val="00021606"/>
    <w:rsid w:val="00021A56"/>
    <w:rsid w:val="00021DB5"/>
    <w:rsid w:val="00024DBC"/>
    <w:rsid w:val="00024E43"/>
    <w:rsid w:val="000309C0"/>
    <w:rsid w:val="0003218C"/>
    <w:rsid w:val="0003228B"/>
    <w:rsid w:val="00032979"/>
    <w:rsid w:val="00034179"/>
    <w:rsid w:val="00034434"/>
    <w:rsid w:val="00034FF3"/>
    <w:rsid w:val="000359E6"/>
    <w:rsid w:val="00035DC1"/>
    <w:rsid w:val="000363CB"/>
    <w:rsid w:val="00036DE5"/>
    <w:rsid w:val="0003779F"/>
    <w:rsid w:val="0003791B"/>
    <w:rsid w:val="00037A7F"/>
    <w:rsid w:val="000420EF"/>
    <w:rsid w:val="0004213C"/>
    <w:rsid w:val="00050D09"/>
    <w:rsid w:val="000547A6"/>
    <w:rsid w:val="00054FC8"/>
    <w:rsid w:val="00056BD0"/>
    <w:rsid w:val="00057ED5"/>
    <w:rsid w:val="00060F28"/>
    <w:rsid w:val="000627E9"/>
    <w:rsid w:val="00063351"/>
    <w:rsid w:val="00063CE1"/>
    <w:rsid w:val="000641A5"/>
    <w:rsid w:val="000679DD"/>
    <w:rsid w:val="000701BB"/>
    <w:rsid w:val="00070368"/>
    <w:rsid w:val="000709BC"/>
    <w:rsid w:val="0007491F"/>
    <w:rsid w:val="00075311"/>
    <w:rsid w:val="000756CD"/>
    <w:rsid w:val="00076BC8"/>
    <w:rsid w:val="00077A56"/>
    <w:rsid w:val="00077DCC"/>
    <w:rsid w:val="00080518"/>
    <w:rsid w:val="00081444"/>
    <w:rsid w:val="00084FE9"/>
    <w:rsid w:val="00085F07"/>
    <w:rsid w:val="00090FCD"/>
    <w:rsid w:val="00091CC8"/>
    <w:rsid w:val="0009405D"/>
    <w:rsid w:val="00094BF7"/>
    <w:rsid w:val="00095AA6"/>
    <w:rsid w:val="000A043A"/>
    <w:rsid w:val="000A16D0"/>
    <w:rsid w:val="000A402E"/>
    <w:rsid w:val="000A575A"/>
    <w:rsid w:val="000A594A"/>
    <w:rsid w:val="000A6295"/>
    <w:rsid w:val="000A70B2"/>
    <w:rsid w:val="000B1E3B"/>
    <w:rsid w:val="000B261A"/>
    <w:rsid w:val="000B2A3D"/>
    <w:rsid w:val="000B7006"/>
    <w:rsid w:val="000C11D2"/>
    <w:rsid w:val="000C1F0D"/>
    <w:rsid w:val="000C2F1F"/>
    <w:rsid w:val="000C321D"/>
    <w:rsid w:val="000C4AA3"/>
    <w:rsid w:val="000C536C"/>
    <w:rsid w:val="000D0F10"/>
    <w:rsid w:val="000D1199"/>
    <w:rsid w:val="000D2C2E"/>
    <w:rsid w:val="000D4776"/>
    <w:rsid w:val="000E2C8D"/>
    <w:rsid w:val="000E2D0B"/>
    <w:rsid w:val="000E4783"/>
    <w:rsid w:val="000E5286"/>
    <w:rsid w:val="000E6A2F"/>
    <w:rsid w:val="000E6FC8"/>
    <w:rsid w:val="000E732F"/>
    <w:rsid w:val="000E7B59"/>
    <w:rsid w:val="000F1EE5"/>
    <w:rsid w:val="000F6E4B"/>
    <w:rsid w:val="001071D1"/>
    <w:rsid w:val="001109F0"/>
    <w:rsid w:val="001113D5"/>
    <w:rsid w:val="00111D27"/>
    <w:rsid w:val="001123FE"/>
    <w:rsid w:val="00114DEB"/>
    <w:rsid w:val="001156D4"/>
    <w:rsid w:val="00115F00"/>
    <w:rsid w:val="00121341"/>
    <w:rsid w:val="00122219"/>
    <w:rsid w:val="0012311B"/>
    <w:rsid w:val="001266E1"/>
    <w:rsid w:val="00127FB0"/>
    <w:rsid w:val="001324C9"/>
    <w:rsid w:val="00134961"/>
    <w:rsid w:val="0013755E"/>
    <w:rsid w:val="001377C7"/>
    <w:rsid w:val="00140A54"/>
    <w:rsid w:val="00141716"/>
    <w:rsid w:val="00143292"/>
    <w:rsid w:val="00143956"/>
    <w:rsid w:val="00144522"/>
    <w:rsid w:val="00144C3F"/>
    <w:rsid w:val="00150A15"/>
    <w:rsid w:val="001536D2"/>
    <w:rsid w:val="00155996"/>
    <w:rsid w:val="00155F6F"/>
    <w:rsid w:val="00156147"/>
    <w:rsid w:val="001566D6"/>
    <w:rsid w:val="0015708E"/>
    <w:rsid w:val="00157FCD"/>
    <w:rsid w:val="0016008E"/>
    <w:rsid w:val="001601BD"/>
    <w:rsid w:val="001659E7"/>
    <w:rsid w:val="00170001"/>
    <w:rsid w:val="0017104D"/>
    <w:rsid w:val="00171512"/>
    <w:rsid w:val="001732BD"/>
    <w:rsid w:val="0017346B"/>
    <w:rsid w:val="00175F16"/>
    <w:rsid w:val="00175F39"/>
    <w:rsid w:val="00176ED5"/>
    <w:rsid w:val="00177D56"/>
    <w:rsid w:val="00177FF2"/>
    <w:rsid w:val="001805AB"/>
    <w:rsid w:val="001805B1"/>
    <w:rsid w:val="00180F34"/>
    <w:rsid w:val="001820A9"/>
    <w:rsid w:val="001820DC"/>
    <w:rsid w:val="00184731"/>
    <w:rsid w:val="001858F2"/>
    <w:rsid w:val="00191E42"/>
    <w:rsid w:val="0019229B"/>
    <w:rsid w:val="00193B29"/>
    <w:rsid w:val="00195E67"/>
    <w:rsid w:val="001A034A"/>
    <w:rsid w:val="001A356A"/>
    <w:rsid w:val="001A5233"/>
    <w:rsid w:val="001A569E"/>
    <w:rsid w:val="001A7F88"/>
    <w:rsid w:val="001B12C3"/>
    <w:rsid w:val="001C3416"/>
    <w:rsid w:val="001C4BAB"/>
    <w:rsid w:val="001C5713"/>
    <w:rsid w:val="001D0938"/>
    <w:rsid w:val="001D0F67"/>
    <w:rsid w:val="001D196B"/>
    <w:rsid w:val="001D1993"/>
    <w:rsid w:val="001D2390"/>
    <w:rsid w:val="001D40E2"/>
    <w:rsid w:val="001D4904"/>
    <w:rsid w:val="001D5520"/>
    <w:rsid w:val="001D7BED"/>
    <w:rsid w:val="001E1766"/>
    <w:rsid w:val="001E291C"/>
    <w:rsid w:val="001E50BD"/>
    <w:rsid w:val="001E5345"/>
    <w:rsid w:val="001E6726"/>
    <w:rsid w:val="001F26CF"/>
    <w:rsid w:val="001F52D8"/>
    <w:rsid w:val="001F53B2"/>
    <w:rsid w:val="001F602B"/>
    <w:rsid w:val="001F69B4"/>
    <w:rsid w:val="00201C2D"/>
    <w:rsid w:val="00203220"/>
    <w:rsid w:val="0020390D"/>
    <w:rsid w:val="002049A5"/>
    <w:rsid w:val="00205EDD"/>
    <w:rsid w:val="00210B43"/>
    <w:rsid w:val="002138B7"/>
    <w:rsid w:val="00214808"/>
    <w:rsid w:val="00215245"/>
    <w:rsid w:val="00216745"/>
    <w:rsid w:val="00217479"/>
    <w:rsid w:val="00222853"/>
    <w:rsid w:val="0022520A"/>
    <w:rsid w:val="00225757"/>
    <w:rsid w:val="002258FD"/>
    <w:rsid w:val="00225A90"/>
    <w:rsid w:val="00227D03"/>
    <w:rsid w:val="0023211E"/>
    <w:rsid w:val="00232ED8"/>
    <w:rsid w:val="00233A26"/>
    <w:rsid w:val="00234594"/>
    <w:rsid w:val="00236830"/>
    <w:rsid w:val="0024190A"/>
    <w:rsid w:val="00241D6D"/>
    <w:rsid w:val="00242EED"/>
    <w:rsid w:val="002432A6"/>
    <w:rsid w:val="00243526"/>
    <w:rsid w:val="00245BE2"/>
    <w:rsid w:val="00245E29"/>
    <w:rsid w:val="00245E56"/>
    <w:rsid w:val="002479CF"/>
    <w:rsid w:val="0025324C"/>
    <w:rsid w:val="00253470"/>
    <w:rsid w:val="00254AF3"/>
    <w:rsid w:val="00254FD4"/>
    <w:rsid w:val="002556BB"/>
    <w:rsid w:val="00256BEE"/>
    <w:rsid w:val="00256CD2"/>
    <w:rsid w:val="002606C4"/>
    <w:rsid w:val="0026090D"/>
    <w:rsid w:val="002619F9"/>
    <w:rsid w:val="00266816"/>
    <w:rsid w:val="00272C9A"/>
    <w:rsid w:val="00273079"/>
    <w:rsid w:val="00273E63"/>
    <w:rsid w:val="00274711"/>
    <w:rsid w:val="00276816"/>
    <w:rsid w:val="00276AB9"/>
    <w:rsid w:val="00277E80"/>
    <w:rsid w:val="00281266"/>
    <w:rsid w:val="002865FA"/>
    <w:rsid w:val="00286718"/>
    <w:rsid w:val="00291B63"/>
    <w:rsid w:val="00292B4C"/>
    <w:rsid w:val="00292DA6"/>
    <w:rsid w:val="002934DC"/>
    <w:rsid w:val="00296037"/>
    <w:rsid w:val="002A2CA7"/>
    <w:rsid w:val="002A2DB1"/>
    <w:rsid w:val="002A344B"/>
    <w:rsid w:val="002A4302"/>
    <w:rsid w:val="002A4DB4"/>
    <w:rsid w:val="002A64F9"/>
    <w:rsid w:val="002A7254"/>
    <w:rsid w:val="002B1311"/>
    <w:rsid w:val="002B14D8"/>
    <w:rsid w:val="002B3B36"/>
    <w:rsid w:val="002B468C"/>
    <w:rsid w:val="002B790F"/>
    <w:rsid w:val="002C2739"/>
    <w:rsid w:val="002C60AC"/>
    <w:rsid w:val="002C6F6B"/>
    <w:rsid w:val="002C70EF"/>
    <w:rsid w:val="002D5CB1"/>
    <w:rsid w:val="002D7329"/>
    <w:rsid w:val="002E0558"/>
    <w:rsid w:val="002E0AEB"/>
    <w:rsid w:val="002E1F1A"/>
    <w:rsid w:val="002E69B0"/>
    <w:rsid w:val="002F2E97"/>
    <w:rsid w:val="002F3757"/>
    <w:rsid w:val="002F3ABA"/>
    <w:rsid w:val="002F3D44"/>
    <w:rsid w:val="002F58C5"/>
    <w:rsid w:val="002F7754"/>
    <w:rsid w:val="00304385"/>
    <w:rsid w:val="00304544"/>
    <w:rsid w:val="00304916"/>
    <w:rsid w:val="00304970"/>
    <w:rsid w:val="00311038"/>
    <w:rsid w:val="003140C4"/>
    <w:rsid w:val="0031444C"/>
    <w:rsid w:val="00315BF2"/>
    <w:rsid w:val="003160EF"/>
    <w:rsid w:val="0031752B"/>
    <w:rsid w:val="00317902"/>
    <w:rsid w:val="0032001A"/>
    <w:rsid w:val="0032057B"/>
    <w:rsid w:val="003206B3"/>
    <w:rsid w:val="00320EE8"/>
    <w:rsid w:val="00322483"/>
    <w:rsid w:val="00322B79"/>
    <w:rsid w:val="00323623"/>
    <w:rsid w:val="00323B99"/>
    <w:rsid w:val="003255C9"/>
    <w:rsid w:val="00330DA6"/>
    <w:rsid w:val="00332422"/>
    <w:rsid w:val="00332EBF"/>
    <w:rsid w:val="003341F2"/>
    <w:rsid w:val="003404F9"/>
    <w:rsid w:val="00341F7A"/>
    <w:rsid w:val="00345FA7"/>
    <w:rsid w:val="00350117"/>
    <w:rsid w:val="00351110"/>
    <w:rsid w:val="00353B25"/>
    <w:rsid w:val="00355F96"/>
    <w:rsid w:val="00355FF0"/>
    <w:rsid w:val="0035607F"/>
    <w:rsid w:val="00357A48"/>
    <w:rsid w:val="00363B3F"/>
    <w:rsid w:val="00364FAA"/>
    <w:rsid w:val="00365B93"/>
    <w:rsid w:val="0037145B"/>
    <w:rsid w:val="003719AD"/>
    <w:rsid w:val="00374E5C"/>
    <w:rsid w:val="00376030"/>
    <w:rsid w:val="00377FC3"/>
    <w:rsid w:val="0038112D"/>
    <w:rsid w:val="00381E2E"/>
    <w:rsid w:val="003871FF"/>
    <w:rsid w:val="0038763A"/>
    <w:rsid w:val="0039233C"/>
    <w:rsid w:val="00392FF0"/>
    <w:rsid w:val="00395551"/>
    <w:rsid w:val="00395F83"/>
    <w:rsid w:val="00397CAF"/>
    <w:rsid w:val="003A0792"/>
    <w:rsid w:val="003A1001"/>
    <w:rsid w:val="003A1302"/>
    <w:rsid w:val="003A2661"/>
    <w:rsid w:val="003A43B8"/>
    <w:rsid w:val="003A5115"/>
    <w:rsid w:val="003A63D8"/>
    <w:rsid w:val="003B032D"/>
    <w:rsid w:val="003B4177"/>
    <w:rsid w:val="003B4793"/>
    <w:rsid w:val="003C069B"/>
    <w:rsid w:val="003C2D78"/>
    <w:rsid w:val="003C6F81"/>
    <w:rsid w:val="003C7370"/>
    <w:rsid w:val="003D1B68"/>
    <w:rsid w:val="003D2A2F"/>
    <w:rsid w:val="003D3CEC"/>
    <w:rsid w:val="003D57B5"/>
    <w:rsid w:val="003D5FC5"/>
    <w:rsid w:val="003D7559"/>
    <w:rsid w:val="003E11A7"/>
    <w:rsid w:val="003E120E"/>
    <w:rsid w:val="003E12B4"/>
    <w:rsid w:val="003E172B"/>
    <w:rsid w:val="003E2B0E"/>
    <w:rsid w:val="003E2C8C"/>
    <w:rsid w:val="003E53B8"/>
    <w:rsid w:val="003E5479"/>
    <w:rsid w:val="003E630D"/>
    <w:rsid w:val="003E7CBE"/>
    <w:rsid w:val="003F5FD2"/>
    <w:rsid w:val="003F60DE"/>
    <w:rsid w:val="003F71A6"/>
    <w:rsid w:val="00401647"/>
    <w:rsid w:val="00402164"/>
    <w:rsid w:val="004024C0"/>
    <w:rsid w:val="00405525"/>
    <w:rsid w:val="00407C89"/>
    <w:rsid w:val="00407DDB"/>
    <w:rsid w:val="00412D1F"/>
    <w:rsid w:val="00413395"/>
    <w:rsid w:val="00413F15"/>
    <w:rsid w:val="00414054"/>
    <w:rsid w:val="004153B3"/>
    <w:rsid w:val="0041621F"/>
    <w:rsid w:val="00416F9D"/>
    <w:rsid w:val="00420244"/>
    <w:rsid w:val="004206B7"/>
    <w:rsid w:val="00420AE6"/>
    <w:rsid w:val="00425354"/>
    <w:rsid w:val="00425396"/>
    <w:rsid w:val="004263D1"/>
    <w:rsid w:val="00426FB0"/>
    <w:rsid w:val="00430DA8"/>
    <w:rsid w:val="004310CC"/>
    <w:rsid w:val="00431283"/>
    <w:rsid w:val="00432136"/>
    <w:rsid w:val="004328D9"/>
    <w:rsid w:val="00432D2E"/>
    <w:rsid w:val="004406BA"/>
    <w:rsid w:val="0044199D"/>
    <w:rsid w:val="00441C33"/>
    <w:rsid w:val="00442522"/>
    <w:rsid w:val="00443B73"/>
    <w:rsid w:val="00443CB2"/>
    <w:rsid w:val="00443E95"/>
    <w:rsid w:val="00444112"/>
    <w:rsid w:val="004444AD"/>
    <w:rsid w:val="004445D7"/>
    <w:rsid w:val="0044565E"/>
    <w:rsid w:val="00445C53"/>
    <w:rsid w:val="00446486"/>
    <w:rsid w:val="00446BCB"/>
    <w:rsid w:val="00447541"/>
    <w:rsid w:val="0044785E"/>
    <w:rsid w:val="00452F5C"/>
    <w:rsid w:val="004574C8"/>
    <w:rsid w:val="0045772A"/>
    <w:rsid w:val="00460C37"/>
    <w:rsid w:val="004627C7"/>
    <w:rsid w:val="00462FE4"/>
    <w:rsid w:val="004640F8"/>
    <w:rsid w:val="00466EF2"/>
    <w:rsid w:val="00472C3B"/>
    <w:rsid w:val="00473428"/>
    <w:rsid w:val="00474404"/>
    <w:rsid w:val="0047638D"/>
    <w:rsid w:val="0047678F"/>
    <w:rsid w:val="00477035"/>
    <w:rsid w:val="004779E0"/>
    <w:rsid w:val="004809E0"/>
    <w:rsid w:val="00481747"/>
    <w:rsid w:val="00481EA8"/>
    <w:rsid w:val="004836A4"/>
    <w:rsid w:val="00484D13"/>
    <w:rsid w:val="00486A0B"/>
    <w:rsid w:val="00486DFF"/>
    <w:rsid w:val="004871FE"/>
    <w:rsid w:val="00487648"/>
    <w:rsid w:val="004918A9"/>
    <w:rsid w:val="00491C8A"/>
    <w:rsid w:val="0049256B"/>
    <w:rsid w:val="0049378D"/>
    <w:rsid w:val="00493AC2"/>
    <w:rsid w:val="00493DD1"/>
    <w:rsid w:val="004963D6"/>
    <w:rsid w:val="004975E9"/>
    <w:rsid w:val="00497968"/>
    <w:rsid w:val="004A0CDA"/>
    <w:rsid w:val="004A21CE"/>
    <w:rsid w:val="004A40F5"/>
    <w:rsid w:val="004A6003"/>
    <w:rsid w:val="004A668C"/>
    <w:rsid w:val="004A75B3"/>
    <w:rsid w:val="004A76E6"/>
    <w:rsid w:val="004B0479"/>
    <w:rsid w:val="004B162A"/>
    <w:rsid w:val="004B2273"/>
    <w:rsid w:val="004B37CB"/>
    <w:rsid w:val="004B44A5"/>
    <w:rsid w:val="004B7F61"/>
    <w:rsid w:val="004C23BF"/>
    <w:rsid w:val="004C2C33"/>
    <w:rsid w:val="004C6036"/>
    <w:rsid w:val="004C60BE"/>
    <w:rsid w:val="004C61EA"/>
    <w:rsid w:val="004C63C4"/>
    <w:rsid w:val="004C7EDF"/>
    <w:rsid w:val="004D379F"/>
    <w:rsid w:val="004D4434"/>
    <w:rsid w:val="004D45B7"/>
    <w:rsid w:val="004D4CF6"/>
    <w:rsid w:val="004D5AE3"/>
    <w:rsid w:val="004E4FD2"/>
    <w:rsid w:val="004E59A3"/>
    <w:rsid w:val="004E6187"/>
    <w:rsid w:val="004E6689"/>
    <w:rsid w:val="004E6C90"/>
    <w:rsid w:val="004F0C61"/>
    <w:rsid w:val="004F43A9"/>
    <w:rsid w:val="004F4E3C"/>
    <w:rsid w:val="004F7767"/>
    <w:rsid w:val="005002A2"/>
    <w:rsid w:val="005017B5"/>
    <w:rsid w:val="00504A49"/>
    <w:rsid w:val="00505DD8"/>
    <w:rsid w:val="00505E20"/>
    <w:rsid w:val="00506206"/>
    <w:rsid w:val="00507A7E"/>
    <w:rsid w:val="00507F36"/>
    <w:rsid w:val="005137FD"/>
    <w:rsid w:val="00515445"/>
    <w:rsid w:val="005232E2"/>
    <w:rsid w:val="005241AD"/>
    <w:rsid w:val="005248D9"/>
    <w:rsid w:val="00526936"/>
    <w:rsid w:val="00526E0D"/>
    <w:rsid w:val="00530834"/>
    <w:rsid w:val="005333CB"/>
    <w:rsid w:val="005339CD"/>
    <w:rsid w:val="00536263"/>
    <w:rsid w:val="005400A2"/>
    <w:rsid w:val="00542246"/>
    <w:rsid w:val="00542797"/>
    <w:rsid w:val="00542B10"/>
    <w:rsid w:val="005470AA"/>
    <w:rsid w:val="00547AA2"/>
    <w:rsid w:val="0055067E"/>
    <w:rsid w:val="00550B5A"/>
    <w:rsid w:val="00554183"/>
    <w:rsid w:val="00554468"/>
    <w:rsid w:val="005545B9"/>
    <w:rsid w:val="00555EE4"/>
    <w:rsid w:val="0055630A"/>
    <w:rsid w:val="005570B1"/>
    <w:rsid w:val="00560D9E"/>
    <w:rsid w:val="00561846"/>
    <w:rsid w:val="00564297"/>
    <w:rsid w:val="0056497C"/>
    <w:rsid w:val="005668B2"/>
    <w:rsid w:val="00567828"/>
    <w:rsid w:val="00571901"/>
    <w:rsid w:val="00572D3B"/>
    <w:rsid w:val="005733C4"/>
    <w:rsid w:val="00573D1C"/>
    <w:rsid w:val="005746E5"/>
    <w:rsid w:val="00575E7A"/>
    <w:rsid w:val="00576B3B"/>
    <w:rsid w:val="00576BE8"/>
    <w:rsid w:val="00580E3E"/>
    <w:rsid w:val="00582403"/>
    <w:rsid w:val="0058242A"/>
    <w:rsid w:val="00583B74"/>
    <w:rsid w:val="00584B7F"/>
    <w:rsid w:val="00585608"/>
    <w:rsid w:val="00587C15"/>
    <w:rsid w:val="00590849"/>
    <w:rsid w:val="00590E96"/>
    <w:rsid w:val="0059239E"/>
    <w:rsid w:val="0059501C"/>
    <w:rsid w:val="00595E48"/>
    <w:rsid w:val="00597371"/>
    <w:rsid w:val="00597A5F"/>
    <w:rsid w:val="00597B72"/>
    <w:rsid w:val="005A1DD6"/>
    <w:rsid w:val="005A1ECB"/>
    <w:rsid w:val="005A25D0"/>
    <w:rsid w:val="005A4945"/>
    <w:rsid w:val="005A4B4A"/>
    <w:rsid w:val="005A7E67"/>
    <w:rsid w:val="005B08E9"/>
    <w:rsid w:val="005B0B8D"/>
    <w:rsid w:val="005B2546"/>
    <w:rsid w:val="005B46A2"/>
    <w:rsid w:val="005B545B"/>
    <w:rsid w:val="005B5AB8"/>
    <w:rsid w:val="005B69BB"/>
    <w:rsid w:val="005B7F37"/>
    <w:rsid w:val="005C20DF"/>
    <w:rsid w:val="005C212C"/>
    <w:rsid w:val="005C42B4"/>
    <w:rsid w:val="005C5AE7"/>
    <w:rsid w:val="005C6A96"/>
    <w:rsid w:val="005C6FAB"/>
    <w:rsid w:val="005D000D"/>
    <w:rsid w:val="005D0BCA"/>
    <w:rsid w:val="005D18A0"/>
    <w:rsid w:val="005D3320"/>
    <w:rsid w:val="005D34D7"/>
    <w:rsid w:val="005E0F45"/>
    <w:rsid w:val="005E21D1"/>
    <w:rsid w:val="005F0653"/>
    <w:rsid w:val="005F1537"/>
    <w:rsid w:val="005F1C0E"/>
    <w:rsid w:val="005F3040"/>
    <w:rsid w:val="005F3366"/>
    <w:rsid w:val="005F4047"/>
    <w:rsid w:val="0060049F"/>
    <w:rsid w:val="0060154A"/>
    <w:rsid w:val="006018DE"/>
    <w:rsid w:val="00601C3F"/>
    <w:rsid w:val="00604288"/>
    <w:rsid w:val="006044BA"/>
    <w:rsid w:val="00604CC6"/>
    <w:rsid w:val="00605CC3"/>
    <w:rsid w:val="00606FCC"/>
    <w:rsid w:val="00607AF7"/>
    <w:rsid w:val="00611EF6"/>
    <w:rsid w:val="00613590"/>
    <w:rsid w:val="006138DF"/>
    <w:rsid w:val="00614C27"/>
    <w:rsid w:val="00616802"/>
    <w:rsid w:val="00620E7C"/>
    <w:rsid w:val="0062121C"/>
    <w:rsid w:val="006222C9"/>
    <w:rsid w:val="006235B8"/>
    <w:rsid w:val="006245A6"/>
    <w:rsid w:val="00626068"/>
    <w:rsid w:val="00630441"/>
    <w:rsid w:val="0063052A"/>
    <w:rsid w:val="006334F2"/>
    <w:rsid w:val="006352CA"/>
    <w:rsid w:val="00635EE0"/>
    <w:rsid w:val="00637AD1"/>
    <w:rsid w:val="00640025"/>
    <w:rsid w:val="006404FF"/>
    <w:rsid w:val="00640946"/>
    <w:rsid w:val="006424F6"/>
    <w:rsid w:val="00643DBF"/>
    <w:rsid w:val="006459FE"/>
    <w:rsid w:val="00651EE5"/>
    <w:rsid w:val="006520CA"/>
    <w:rsid w:val="00654E38"/>
    <w:rsid w:val="00656B23"/>
    <w:rsid w:val="00660101"/>
    <w:rsid w:val="00660B76"/>
    <w:rsid w:val="00661AB8"/>
    <w:rsid w:val="0066317D"/>
    <w:rsid w:val="006650B3"/>
    <w:rsid w:val="00670441"/>
    <w:rsid w:val="00670F76"/>
    <w:rsid w:val="00672379"/>
    <w:rsid w:val="0067379C"/>
    <w:rsid w:val="00676D69"/>
    <w:rsid w:val="00676E04"/>
    <w:rsid w:val="00685576"/>
    <w:rsid w:val="00686D91"/>
    <w:rsid w:val="006873BA"/>
    <w:rsid w:val="00687CB2"/>
    <w:rsid w:val="00693A5E"/>
    <w:rsid w:val="00694001"/>
    <w:rsid w:val="0069430A"/>
    <w:rsid w:val="00694BF7"/>
    <w:rsid w:val="00694D80"/>
    <w:rsid w:val="006958EE"/>
    <w:rsid w:val="006967D9"/>
    <w:rsid w:val="00696946"/>
    <w:rsid w:val="006A6930"/>
    <w:rsid w:val="006A6DD9"/>
    <w:rsid w:val="006B1AE0"/>
    <w:rsid w:val="006B240C"/>
    <w:rsid w:val="006B2C01"/>
    <w:rsid w:val="006B3EF5"/>
    <w:rsid w:val="006B530C"/>
    <w:rsid w:val="006B697A"/>
    <w:rsid w:val="006C46FE"/>
    <w:rsid w:val="006C4B75"/>
    <w:rsid w:val="006C57DD"/>
    <w:rsid w:val="006C6956"/>
    <w:rsid w:val="006D194B"/>
    <w:rsid w:val="006D5954"/>
    <w:rsid w:val="006D7EB6"/>
    <w:rsid w:val="006E007C"/>
    <w:rsid w:val="006E196C"/>
    <w:rsid w:val="006E445A"/>
    <w:rsid w:val="006E4A71"/>
    <w:rsid w:val="006F08F6"/>
    <w:rsid w:val="006F32C3"/>
    <w:rsid w:val="006F3808"/>
    <w:rsid w:val="006F3E4C"/>
    <w:rsid w:val="006F43FC"/>
    <w:rsid w:val="006F6D89"/>
    <w:rsid w:val="00700564"/>
    <w:rsid w:val="0070147B"/>
    <w:rsid w:val="00703864"/>
    <w:rsid w:val="007048B0"/>
    <w:rsid w:val="00704977"/>
    <w:rsid w:val="00707BAC"/>
    <w:rsid w:val="00710308"/>
    <w:rsid w:val="007113B5"/>
    <w:rsid w:val="00711B5B"/>
    <w:rsid w:val="00712767"/>
    <w:rsid w:val="007143CD"/>
    <w:rsid w:val="007164E8"/>
    <w:rsid w:val="00716BAA"/>
    <w:rsid w:val="00716CAC"/>
    <w:rsid w:val="00723DC3"/>
    <w:rsid w:val="007257F3"/>
    <w:rsid w:val="00725F93"/>
    <w:rsid w:val="007267D0"/>
    <w:rsid w:val="0072688A"/>
    <w:rsid w:val="007272A6"/>
    <w:rsid w:val="0072733B"/>
    <w:rsid w:val="00730899"/>
    <w:rsid w:val="007318AE"/>
    <w:rsid w:val="0073572A"/>
    <w:rsid w:val="00736FA2"/>
    <w:rsid w:val="00740760"/>
    <w:rsid w:val="00740C0F"/>
    <w:rsid w:val="007410B0"/>
    <w:rsid w:val="00741844"/>
    <w:rsid w:val="0074413F"/>
    <w:rsid w:val="00744C05"/>
    <w:rsid w:val="00744D24"/>
    <w:rsid w:val="00745D35"/>
    <w:rsid w:val="00746672"/>
    <w:rsid w:val="00753F13"/>
    <w:rsid w:val="00756C1B"/>
    <w:rsid w:val="00762278"/>
    <w:rsid w:val="007628D4"/>
    <w:rsid w:val="00763225"/>
    <w:rsid w:val="0076553F"/>
    <w:rsid w:val="0076616A"/>
    <w:rsid w:val="00766B2A"/>
    <w:rsid w:val="0076700C"/>
    <w:rsid w:val="00771746"/>
    <w:rsid w:val="00771851"/>
    <w:rsid w:val="0078004E"/>
    <w:rsid w:val="00780A7D"/>
    <w:rsid w:val="007841B7"/>
    <w:rsid w:val="0078440A"/>
    <w:rsid w:val="00784F8A"/>
    <w:rsid w:val="00786644"/>
    <w:rsid w:val="00791743"/>
    <w:rsid w:val="007A7051"/>
    <w:rsid w:val="007A7373"/>
    <w:rsid w:val="007A7B3C"/>
    <w:rsid w:val="007B16E3"/>
    <w:rsid w:val="007B181C"/>
    <w:rsid w:val="007B3A42"/>
    <w:rsid w:val="007B43DE"/>
    <w:rsid w:val="007B4B63"/>
    <w:rsid w:val="007B503F"/>
    <w:rsid w:val="007B7354"/>
    <w:rsid w:val="007B7870"/>
    <w:rsid w:val="007C0368"/>
    <w:rsid w:val="007C054D"/>
    <w:rsid w:val="007C0CA8"/>
    <w:rsid w:val="007C131C"/>
    <w:rsid w:val="007C34A1"/>
    <w:rsid w:val="007C5037"/>
    <w:rsid w:val="007C608A"/>
    <w:rsid w:val="007C6C6B"/>
    <w:rsid w:val="007D0229"/>
    <w:rsid w:val="007D07C0"/>
    <w:rsid w:val="007D210B"/>
    <w:rsid w:val="007D2C33"/>
    <w:rsid w:val="007D34E4"/>
    <w:rsid w:val="007D3C41"/>
    <w:rsid w:val="007D62FF"/>
    <w:rsid w:val="007D64CF"/>
    <w:rsid w:val="007D6ACC"/>
    <w:rsid w:val="007D79C4"/>
    <w:rsid w:val="007E0AD5"/>
    <w:rsid w:val="007E153F"/>
    <w:rsid w:val="007E1891"/>
    <w:rsid w:val="007E28AD"/>
    <w:rsid w:val="007E2D5D"/>
    <w:rsid w:val="007E4382"/>
    <w:rsid w:val="007E511D"/>
    <w:rsid w:val="007F2457"/>
    <w:rsid w:val="007F28C6"/>
    <w:rsid w:val="007F356F"/>
    <w:rsid w:val="00801574"/>
    <w:rsid w:val="00802D23"/>
    <w:rsid w:val="00804DEE"/>
    <w:rsid w:val="00806EAC"/>
    <w:rsid w:val="00811739"/>
    <w:rsid w:val="00811ABF"/>
    <w:rsid w:val="00811DFF"/>
    <w:rsid w:val="008125E3"/>
    <w:rsid w:val="00814345"/>
    <w:rsid w:val="00814D5C"/>
    <w:rsid w:val="00815628"/>
    <w:rsid w:val="008172D2"/>
    <w:rsid w:val="008204D3"/>
    <w:rsid w:val="00822783"/>
    <w:rsid w:val="008253EC"/>
    <w:rsid w:val="00826C08"/>
    <w:rsid w:val="00826D1D"/>
    <w:rsid w:val="00827C5B"/>
    <w:rsid w:val="00833127"/>
    <w:rsid w:val="00841139"/>
    <w:rsid w:val="00841A45"/>
    <w:rsid w:val="00842B3D"/>
    <w:rsid w:val="008442E5"/>
    <w:rsid w:val="0084502C"/>
    <w:rsid w:val="00845257"/>
    <w:rsid w:val="00852141"/>
    <w:rsid w:val="00853CA6"/>
    <w:rsid w:val="00855220"/>
    <w:rsid w:val="00855636"/>
    <w:rsid w:val="00857B45"/>
    <w:rsid w:val="00862389"/>
    <w:rsid w:val="00862782"/>
    <w:rsid w:val="008675D9"/>
    <w:rsid w:val="00867A5E"/>
    <w:rsid w:val="0087264A"/>
    <w:rsid w:val="00872E21"/>
    <w:rsid w:val="00873F55"/>
    <w:rsid w:val="00875802"/>
    <w:rsid w:val="00876B23"/>
    <w:rsid w:val="008777D2"/>
    <w:rsid w:val="008826F7"/>
    <w:rsid w:val="00883847"/>
    <w:rsid w:val="00885AAC"/>
    <w:rsid w:val="0088663B"/>
    <w:rsid w:val="00886C5D"/>
    <w:rsid w:val="008900D7"/>
    <w:rsid w:val="00890931"/>
    <w:rsid w:val="008913FE"/>
    <w:rsid w:val="0089430B"/>
    <w:rsid w:val="00895330"/>
    <w:rsid w:val="00897423"/>
    <w:rsid w:val="008A03A5"/>
    <w:rsid w:val="008A2FAD"/>
    <w:rsid w:val="008A647A"/>
    <w:rsid w:val="008A7DCA"/>
    <w:rsid w:val="008A7DF8"/>
    <w:rsid w:val="008B1438"/>
    <w:rsid w:val="008B3D8D"/>
    <w:rsid w:val="008B5339"/>
    <w:rsid w:val="008B5C7A"/>
    <w:rsid w:val="008B6792"/>
    <w:rsid w:val="008B762D"/>
    <w:rsid w:val="008C0204"/>
    <w:rsid w:val="008C0310"/>
    <w:rsid w:val="008C063E"/>
    <w:rsid w:val="008C14DB"/>
    <w:rsid w:val="008C2A3E"/>
    <w:rsid w:val="008C2A7D"/>
    <w:rsid w:val="008C4214"/>
    <w:rsid w:val="008C5BF5"/>
    <w:rsid w:val="008D3FE7"/>
    <w:rsid w:val="008E021E"/>
    <w:rsid w:val="008E1909"/>
    <w:rsid w:val="008E36A1"/>
    <w:rsid w:val="008E38C7"/>
    <w:rsid w:val="008E4DC2"/>
    <w:rsid w:val="008E527F"/>
    <w:rsid w:val="008E626A"/>
    <w:rsid w:val="008E75BB"/>
    <w:rsid w:val="008F0428"/>
    <w:rsid w:val="008F24CE"/>
    <w:rsid w:val="008F4D3E"/>
    <w:rsid w:val="008F544C"/>
    <w:rsid w:val="008F6C71"/>
    <w:rsid w:val="009024CC"/>
    <w:rsid w:val="00904CC6"/>
    <w:rsid w:val="00907C82"/>
    <w:rsid w:val="00907F28"/>
    <w:rsid w:val="00910CAE"/>
    <w:rsid w:val="00912396"/>
    <w:rsid w:val="009129F1"/>
    <w:rsid w:val="00912B78"/>
    <w:rsid w:val="00916DD1"/>
    <w:rsid w:val="0091773A"/>
    <w:rsid w:val="00923079"/>
    <w:rsid w:val="00923249"/>
    <w:rsid w:val="00923E98"/>
    <w:rsid w:val="009244A6"/>
    <w:rsid w:val="009269DC"/>
    <w:rsid w:val="00926E93"/>
    <w:rsid w:val="00926F33"/>
    <w:rsid w:val="009273C0"/>
    <w:rsid w:val="00927C91"/>
    <w:rsid w:val="00932AC9"/>
    <w:rsid w:val="009344EF"/>
    <w:rsid w:val="00935A24"/>
    <w:rsid w:val="009369DF"/>
    <w:rsid w:val="00936AE7"/>
    <w:rsid w:val="00936D2E"/>
    <w:rsid w:val="00940DF0"/>
    <w:rsid w:val="00941E9C"/>
    <w:rsid w:val="00942029"/>
    <w:rsid w:val="009427F5"/>
    <w:rsid w:val="00942BEE"/>
    <w:rsid w:val="00945125"/>
    <w:rsid w:val="009503CA"/>
    <w:rsid w:val="00951488"/>
    <w:rsid w:val="00951559"/>
    <w:rsid w:val="00952901"/>
    <w:rsid w:val="00952E9C"/>
    <w:rsid w:val="00954095"/>
    <w:rsid w:val="0095467F"/>
    <w:rsid w:val="0095793C"/>
    <w:rsid w:val="009604B0"/>
    <w:rsid w:val="00960C56"/>
    <w:rsid w:val="0096214D"/>
    <w:rsid w:val="0096372F"/>
    <w:rsid w:val="009642E3"/>
    <w:rsid w:val="00965884"/>
    <w:rsid w:val="00966BFC"/>
    <w:rsid w:val="0096706C"/>
    <w:rsid w:val="00967C75"/>
    <w:rsid w:val="00971515"/>
    <w:rsid w:val="0097153A"/>
    <w:rsid w:val="009731EB"/>
    <w:rsid w:val="0097504F"/>
    <w:rsid w:val="0097741A"/>
    <w:rsid w:val="00977585"/>
    <w:rsid w:val="00982834"/>
    <w:rsid w:val="009828B5"/>
    <w:rsid w:val="00982B2D"/>
    <w:rsid w:val="009852EA"/>
    <w:rsid w:val="009866F1"/>
    <w:rsid w:val="0099039A"/>
    <w:rsid w:val="009904D3"/>
    <w:rsid w:val="00992C11"/>
    <w:rsid w:val="00994CA4"/>
    <w:rsid w:val="00994E58"/>
    <w:rsid w:val="00996438"/>
    <w:rsid w:val="00996B7F"/>
    <w:rsid w:val="00997283"/>
    <w:rsid w:val="009A104E"/>
    <w:rsid w:val="009A17B3"/>
    <w:rsid w:val="009A1998"/>
    <w:rsid w:val="009A29E4"/>
    <w:rsid w:val="009A2F2A"/>
    <w:rsid w:val="009A42F0"/>
    <w:rsid w:val="009A442C"/>
    <w:rsid w:val="009A4F7B"/>
    <w:rsid w:val="009B2785"/>
    <w:rsid w:val="009B290B"/>
    <w:rsid w:val="009B2ADC"/>
    <w:rsid w:val="009B3C93"/>
    <w:rsid w:val="009B3EAB"/>
    <w:rsid w:val="009B50A9"/>
    <w:rsid w:val="009B61E5"/>
    <w:rsid w:val="009B67F8"/>
    <w:rsid w:val="009B75C7"/>
    <w:rsid w:val="009C01C9"/>
    <w:rsid w:val="009C0B7E"/>
    <w:rsid w:val="009C0D7C"/>
    <w:rsid w:val="009C2E09"/>
    <w:rsid w:val="009C5918"/>
    <w:rsid w:val="009C6487"/>
    <w:rsid w:val="009C794D"/>
    <w:rsid w:val="009D4020"/>
    <w:rsid w:val="009D59F0"/>
    <w:rsid w:val="009D71F3"/>
    <w:rsid w:val="009E22EF"/>
    <w:rsid w:val="009E2FAE"/>
    <w:rsid w:val="009E432A"/>
    <w:rsid w:val="009E68D8"/>
    <w:rsid w:val="009F1EBB"/>
    <w:rsid w:val="009F208F"/>
    <w:rsid w:val="009F20CA"/>
    <w:rsid w:val="009F285D"/>
    <w:rsid w:val="009F2B25"/>
    <w:rsid w:val="009F51F8"/>
    <w:rsid w:val="009F6B84"/>
    <w:rsid w:val="009F7830"/>
    <w:rsid w:val="00A000B2"/>
    <w:rsid w:val="00A00DC6"/>
    <w:rsid w:val="00A02E56"/>
    <w:rsid w:val="00A03B84"/>
    <w:rsid w:val="00A041B2"/>
    <w:rsid w:val="00A121DD"/>
    <w:rsid w:val="00A123F8"/>
    <w:rsid w:val="00A17AE3"/>
    <w:rsid w:val="00A21E11"/>
    <w:rsid w:val="00A22DB8"/>
    <w:rsid w:val="00A233AF"/>
    <w:rsid w:val="00A26570"/>
    <w:rsid w:val="00A270B7"/>
    <w:rsid w:val="00A276FA"/>
    <w:rsid w:val="00A27DC2"/>
    <w:rsid w:val="00A301D9"/>
    <w:rsid w:val="00A33E81"/>
    <w:rsid w:val="00A371CE"/>
    <w:rsid w:val="00A375CA"/>
    <w:rsid w:val="00A37EC0"/>
    <w:rsid w:val="00A40997"/>
    <w:rsid w:val="00A41784"/>
    <w:rsid w:val="00A4232F"/>
    <w:rsid w:val="00A42A85"/>
    <w:rsid w:val="00A42FD9"/>
    <w:rsid w:val="00A43083"/>
    <w:rsid w:val="00A438C8"/>
    <w:rsid w:val="00A43920"/>
    <w:rsid w:val="00A44A8E"/>
    <w:rsid w:val="00A46780"/>
    <w:rsid w:val="00A47B7D"/>
    <w:rsid w:val="00A50E75"/>
    <w:rsid w:val="00A510DA"/>
    <w:rsid w:val="00A5339E"/>
    <w:rsid w:val="00A5358E"/>
    <w:rsid w:val="00A537C7"/>
    <w:rsid w:val="00A54FE9"/>
    <w:rsid w:val="00A61D83"/>
    <w:rsid w:val="00A638F8"/>
    <w:rsid w:val="00A6422E"/>
    <w:rsid w:val="00A65DBE"/>
    <w:rsid w:val="00A67C64"/>
    <w:rsid w:val="00A70000"/>
    <w:rsid w:val="00A722E6"/>
    <w:rsid w:val="00A725F3"/>
    <w:rsid w:val="00A72C25"/>
    <w:rsid w:val="00A7464C"/>
    <w:rsid w:val="00A81CE7"/>
    <w:rsid w:val="00A832BC"/>
    <w:rsid w:val="00A83C4D"/>
    <w:rsid w:val="00A84F82"/>
    <w:rsid w:val="00A90D4C"/>
    <w:rsid w:val="00A91014"/>
    <w:rsid w:val="00A93418"/>
    <w:rsid w:val="00A93956"/>
    <w:rsid w:val="00A94040"/>
    <w:rsid w:val="00A94C96"/>
    <w:rsid w:val="00A94D17"/>
    <w:rsid w:val="00A94F6A"/>
    <w:rsid w:val="00A966B5"/>
    <w:rsid w:val="00AA6864"/>
    <w:rsid w:val="00AA6872"/>
    <w:rsid w:val="00AA7E2C"/>
    <w:rsid w:val="00AB192D"/>
    <w:rsid w:val="00AB3D5B"/>
    <w:rsid w:val="00AB4B63"/>
    <w:rsid w:val="00AB4F27"/>
    <w:rsid w:val="00AB64A5"/>
    <w:rsid w:val="00AB734D"/>
    <w:rsid w:val="00AB7FEA"/>
    <w:rsid w:val="00AC1738"/>
    <w:rsid w:val="00AC239C"/>
    <w:rsid w:val="00AC4505"/>
    <w:rsid w:val="00AC69F3"/>
    <w:rsid w:val="00AD00E3"/>
    <w:rsid w:val="00AD03EF"/>
    <w:rsid w:val="00AD0A59"/>
    <w:rsid w:val="00AD469B"/>
    <w:rsid w:val="00AD6882"/>
    <w:rsid w:val="00AD6BF2"/>
    <w:rsid w:val="00AD6F83"/>
    <w:rsid w:val="00AD794F"/>
    <w:rsid w:val="00AD7AA3"/>
    <w:rsid w:val="00AE0093"/>
    <w:rsid w:val="00AE392E"/>
    <w:rsid w:val="00AF2CF8"/>
    <w:rsid w:val="00AF32E1"/>
    <w:rsid w:val="00AF4EC3"/>
    <w:rsid w:val="00AF5499"/>
    <w:rsid w:val="00AF5594"/>
    <w:rsid w:val="00AF70F6"/>
    <w:rsid w:val="00AF7195"/>
    <w:rsid w:val="00AF7573"/>
    <w:rsid w:val="00AF75C1"/>
    <w:rsid w:val="00AF7EDB"/>
    <w:rsid w:val="00B021B4"/>
    <w:rsid w:val="00B03D53"/>
    <w:rsid w:val="00B03F19"/>
    <w:rsid w:val="00B05858"/>
    <w:rsid w:val="00B059E3"/>
    <w:rsid w:val="00B07143"/>
    <w:rsid w:val="00B078A9"/>
    <w:rsid w:val="00B10000"/>
    <w:rsid w:val="00B10115"/>
    <w:rsid w:val="00B136F3"/>
    <w:rsid w:val="00B13928"/>
    <w:rsid w:val="00B14A8B"/>
    <w:rsid w:val="00B14F61"/>
    <w:rsid w:val="00B1620C"/>
    <w:rsid w:val="00B1711B"/>
    <w:rsid w:val="00B20142"/>
    <w:rsid w:val="00B20E24"/>
    <w:rsid w:val="00B226E8"/>
    <w:rsid w:val="00B246D2"/>
    <w:rsid w:val="00B25B61"/>
    <w:rsid w:val="00B32BB4"/>
    <w:rsid w:val="00B33A7B"/>
    <w:rsid w:val="00B34577"/>
    <w:rsid w:val="00B36CEE"/>
    <w:rsid w:val="00B458C5"/>
    <w:rsid w:val="00B46AEF"/>
    <w:rsid w:val="00B46F15"/>
    <w:rsid w:val="00B51689"/>
    <w:rsid w:val="00B52DCC"/>
    <w:rsid w:val="00B53169"/>
    <w:rsid w:val="00B55549"/>
    <w:rsid w:val="00B56D9B"/>
    <w:rsid w:val="00B6232F"/>
    <w:rsid w:val="00B62924"/>
    <w:rsid w:val="00B64803"/>
    <w:rsid w:val="00B656CD"/>
    <w:rsid w:val="00B6622B"/>
    <w:rsid w:val="00B6675C"/>
    <w:rsid w:val="00B736C7"/>
    <w:rsid w:val="00B73A77"/>
    <w:rsid w:val="00B762A6"/>
    <w:rsid w:val="00B81136"/>
    <w:rsid w:val="00B816C0"/>
    <w:rsid w:val="00B82041"/>
    <w:rsid w:val="00B87684"/>
    <w:rsid w:val="00B9168A"/>
    <w:rsid w:val="00B91C58"/>
    <w:rsid w:val="00B92994"/>
    <w:rsid w:val="00B93BCE"/>
    <w:rsid w:val="00B94AFC"/>
    <w:rsid w:val="00B94B0A"/>
    <w:rsid w:val="00B96695"/>
    <w:rsid w:val="00B96E6D"/>
    <w:rsid w:val="00BA02CC"/>
    <w:rsid w:val="00BA2346"/>
    <w:rsid w:val="00BB1AEB"/>
    <w:rsid w:val="00BB2059"/>
    <w:rsid w:val="00BB4DDA"/>
    <w:rsid w:val="00BB5055"/>
    <w:rsid w:val="00BB62FD"/>
    <w:rsid w:val="00BC22ED"/>
    <w:rsid w:val="00BC29C1"/>
    <w:rsid w:val="00BC402A"/>
    <w:rsid w:val="00BC4C4D"/>
    <w:rsid w:val="00BC53B5"/>
    <w:rsid w:val="00BC5A3D"/>
    <w:rsid w:val="00BC750B"/>
    <w:rsid w:val="00BD0179"/>
    <w:rsid w:val="00BD1DF3"/>
    <w:rsid w:val="00BD4389"/>
    <w:rsid w:val="00BD6352"/>
    <w:rsid w:val="00BD75C8"/>
    <w:rsid w:val="00BE33A0"/>
    <w:rsid w:val="00BE4356"/>
    <w:rsid w:val="00BF0539"/>
    <w:rsid w:val="00BF0CBC"/>
    <w:rsid w:val="00BF290A"/>
    <w:rsid w:val="00BF2A1D"/>
    <w:rsid w:val="00BF39F6"/>
    <w:rsid w:val="00BF5BD1"/>
    <w:rsid w:val="00BF781A"/>
    <w:rsid w:val="00C00C19"/>
    <w:rsid w:val="00C00F40"/>
    <w:rsid w:val="00C013B4"/>
    <w:rsid w:val="00C1021F"/>
    <w:rsid w:val="00C109FF"/>
    <w:rsid w:val="00C10BBF"/>
    <w:rsid w:val="00C10C41"/>
    <w:rsid w:val="00C13283"/>
    <w:rsid w:val="00C13C48"/>
    <w:rsid w:val="00C14FDF"/>
    <w:rsid w:val="00C2168B"/>
    <w:rsid w:val="00C22EFB"/>
    <w:rsid w:val="00C240A5"/>
    <w:rsid w:val="00C250ED"/>
    <w:rsid w:val="00C2654F"/>
    <w:rsid w:val="00C2760D"/>
    <w:rsid w:val="00C27AB4"/>
    <w:rsid w:val="00C27FA9"/>
    <w:rsid w:val="00C30B0B"/>
    <w:rsid w:val="00C323B4"/>
    <w:rsid w:val="00C33B8C"/>
    <w:rsid w:val="00C3527C"/>
    <w:rsid w:val="00C35E64"/>
    <w:rsid w:val="00C4016B"/>
    <w:rsid w:val="00C41C36"/>
    <w:rsid w:val="00C4231A"/>
    <w:rsid w:val="00C42521"/>
    <w:rsid w:val="00C427A3"/>
    <w:rsid w:val="00C43FCD"/>
    <w:rsid w:val="00C46B16"/>
    <w:rsid w:val="00C502BD"/>
    <w:rsid w:val="00C51432"/>
    <w:rsid w:val="00C5158E"/>
    <w:rsid w:val="00C52D00"/>
    <w:rsid w:val="00C55754"/>
    <w:rsid w:val="00C56475"/>
    <w:rsid w:val="00C57120"/>
    <w:rsid w:val="00C613EB"/>
    <w:rsid w:val="00C61E83"/>
    <w:rsid w:val="00C61E90"/>
    <w:rsid w:val="00C63F7A"/>
    <w:rsid w:val="00C64CCC"/>
    <w:rsid w:val="00C661A0"/>
    <w:rsid w:val="00C7028B"/>
    <w:rsid w:val="00C7093D"/>
    <w:rsid w:val="00C72093"/>
    <w:rsid w:val="00C72E2F"/>
    <w:rsid w:val="00C771F7"/>
    <w:rsid w:val="00C80710"/>
    <w:rsid w:val="00C826DE"/>
    <w:rsid w:val="00C831FE"/>
    <w:rsid w:val="00C8326D"/>
    <w:rsid w:val="00C850F4"/>
    <w:rsid w:val="00C86AAC"/>
    <w:rsid w:val="00C90F7D"/>
    <w:rsid w:val="00C9154D"/>
    <w:rsid w:val="00C93F75"/>
    <w:rsid w:val="00C94EA1"/>
    <w:rsid w:val="00C97161"/>
    <w:rsid w:val="00CA0160"/>
    <w:rsid w:val="00CA3451"/>
    <w:rsid w:val="00CA7C86"/>
    <w:rsid w:val="00CB0C46"/>
    <w:rsid w:val="00CB0CCC"/>
    <w:rsid w:val="00CB45F6"/>
    <w:rsid w:val="00CB6C54"/>
    <w:rsid w:val="00CB6ECD"/>
    <w:rsid w:val="00CB752A"/>
    <w:rsid w:val="00CC0341"/>
    <w:rsid w:val="00CC0BFD"/>
    <w:rsid w:val="00CC53EC"/>
    <w:rsid w:val="00CC5C26"/>
    <w:rsid w:val="00CD085C"/>
    <w:rsid w:val="00CD0E18"/>
    <w:rsid w:val="00CD1DB9"/>
    <w:rsid w:val="00CD28BB"/>
    <w:rsid w:val="00CD5433"/>
    <w:rsid w:val="00CD5BA3"/>
    <w:rsid w:val="00CD5F05"/>
    <w:rsid w:val="00CD6E31"/>
    <w:rsid w:val="00CD747E"/>
    <w:rsid w:val="00CD77D4"/>
    <w:rsid w:val="00CD79E4"/>
    <w:rsid w:val="00CE1ED9"/>
    <w:rsid w:val="00CE2B5F"/>
    <w:rsid w:val="00CE2E36"/>
    <w:rsid w:val="00CE3DD9"/>
    <w:rsid w:val="00CE50FE"/>
    <w:rsid w:val="00CE51A2"/>
    <w:rsid w:val="00CE5574"/>
    <w:rsid w:val="00CE5705"/>
    <w:rsid w:val="00CE6E2A"/>
    <w:rsid w:val="00CF0FBA"/>
    <w:rsid w:val="00CF1E97"/>
    <w:rsid w:val="00CF6A84"/>
    <w:rsid w:val="00CF6BDC"/>
    <w:rsid w:val="00D0454F"/>
    <w:rsid w:val="00D112CC"/>
    <w:rsid w:val="00D1359B"/>
    <w:rsid w:val="00D13668"/>
    <w:rsid w:val="00D14A25"/>
    <w:rsid w:val="00D16F58"/>
    <w:rsid w:val="00D20822"/>
    <w:rsid w:val="00D217F2"/>
    <w:rsid w:val="00D22117"/>
    <w:rsid w:val="00D23C34"/>
    <w:rsid w:val="00D265C7"/>
    <w:rsid w:val="00D301EA"/>
    <w:rsid w:val="00D40D98"/>
    <w:rsid w:val="00D45FBA"/>
    <w:rsid w:val="00D4720A"/>
    <w:rsid w:val="00D51677"/>
    <w:rsid w:val="00D5629E"/>
    <w:rsid w:val="00D563BA"/>
    <w:rsid w:val="00D6046C"/>
    <w:rsid w:val="00D6053A"/>
    <w:rsid w:val="00D62322"/>
    <w:rsid w:val="00D63EBD"/>
    <w:rsid w:val="00D679EF"/>
    <w:rsid w:val="00D67BE7"/>
    <w:rsid w:val="00D7000E"/>
    <w:rsid w:val="00D71FF4"/>
    <w:rsid w:val="00D7213B"/>
    <w:rsid w:val="00D72F73"/>
    <w:rsid w:val="00D7434C"/>
    <w:rsid w:val="00D754AC"/>
    <w:rsid w:val="00D7550C"/>
    <w:rsid w:val="00D75844"/>
    <w:rsid w:val="00D77B1C"/>
    <w:rsid w:val="00D80B2F"/>
    <w:rsid w:val="00D82B3B"/>
    <w:rsid w:val="00D8360E"/>
    <w:rsid w:val="00D83C4C"/>
    <w:rsid w:val="00D86922"/>
    <w:rsid w:val="00D9061D"/>
    <w:rsid w:val="00D90636"/>
    <w:rsid w:val="00D90A94"/>
    <w:rsid w:val="00D90E55"/>
    <w:rsid w:val="00D91393"/>
    <w:rsid w:val="00D967F1"/>
    <w:rsid w:val="00D97FB5"/>
    <w:rsid w:val="00DA1449"/>
    <w:rsid w:val="00DA1C73"/>
    <w:rsid w:val="00DA45A7"/>
    <w:rsid w:val="00DA4B99"/>
    <w:rsid w:val="00DA693E"/>
    <w:rsid w:val="00DA758E"/>
    <w:rsid w:val="00DB006F"/>
    <w:rsid w:val="00DB048D"/>
    <w:rsid w:val="00DB10CF"/>
    <w:rsid w:val="00DB3810"/>
    <w:rsid w:val="00DB56A7"/>
    <w:rsid w:val="00DC024F"/>
    <w:rsid w:val="00DC0355"/>
    <w:rsid w:val="00DC19B1"/>
    <w:rsid w:val="00DC341C"/>
    <w:rsid w:val="00DC3716"/>
    <w:rsid w:val="00DC4822"/>
    <w:rsid w:val="00DC549E"/>
    <w:rsid w:val="00DC638D"/>
    <w:rsid w:val="00DD2BE6"/>
    <w:rsid w:val="00DD2E9C"/>
    <w:rsid w:val="00DD43B5"/>
    <w:rsid w:val="00DD6036"/>
    <w:rsid w:val="00DD7A8E"/>
    <w:rsid w:val="00DE2010"/>
    <w:rsid w:val="00DE3101"/>
    <w:rsid w:val="00DE3377"/>
    <w:rsid w:val="00DE48DC"/>
    <w:rsid w:val="00DE5824"/>
    <w:rsid w:val="00DE77AC"/>
    <w:rsid w:val="00DF4453"/>
    <w:rsid w:val="00DF5D8D"/>
    <w:rsid w:val="00E0080D"/>
    <w:rsid w:val="00E03539"/>
    <w:rsid w:val="00E0424A"/>
    <w:rsid w:val="00E058FF"/>
    <w:rsid w:val="00E0666D"/>
    <w:rsid w:val="00E07409"/>
    <w:rsid w:val="00E10C2F"/>
    <w:rsid w:val="00E12BA8"/>
    <w:rsid w:val="00E1456E"/>
    <w:rsid w:val="00E217F2"/>
    <w:rsid w:val="00E219F9"/>
    <w:rsid w:val="00E21FD8"/>
    <w:rsid w:val="00E24475"/>
    <w:rsid w:val="00E26145"/>
    <w:rsid w:val="00E276AC"/>
    <w:rsid w:val="00E306A2"/>
    <w:rsid w:val="00E337A7"/>
    <w:rsid w:val="00E33CA9"/>
    <w:rsid w:val="00E341D0"/>
    <w:rsid w:val="00E37CA8"/>
    <w:rsid w:val="00E37DE2"/>
    <w:rsid w:val="00E4130B"/>
    <w:rsid w:val="00E41419"/>
    <w:rsid w:val="00E423C0"/>
    <w:rsid w:val="00E42852"/>
    <w:rsid w:val="00E4689F"/>
    <w:rsid w:val="00E47FE9"/>
    <w:rsid w:val="00E524F4"/>
    <w:rsid w:val="00E53DF6"/>
    <w:rsid w:val="00E54A21"/>
    <w:rsid w:val="00E57D1A"/>
    <w:rsid w:val="00E6007D"/>
    <w:rsid w:val="00E603D4"/>
    <w:rsid w:val="00E611C0"/>
    <w:rsid w:val="00E61B7A"/>
    <w:rsid w:val="00E62C75"/>
    <w:rsid w:val="00E63934"/>
    <w:rsid w:val="00E64F26"/>
    <w:rsid w:val="00E6746C"/>
    <w:rsid w:val="00E67BFB"/>
    <w:rsid w:val="00E67E6C"/>
    <w:rsid w:val="00E701F5"/>
    <w:rsid w:val="00E7060C"/>
    <w:rsid w:val="00E709C2"/>
    <w:rsid w:val="00E70A22"/>
    <w:rsid w:val="00E719CE"/>
    <w:rsid w:val="00E7202A"/>
    <w:rsid w:val="00E72CA2"/>
    <w:rsid w:val="00E73D5C"/>
    <w:rsid w:val="00E7571B"/>
    <w:rsid w:val="00E80024"/>
    <w:rsid w:val="00E80743"/>
    <w:rsid w:val="00E83512"/>
    <w:rsid w:val="00E84D78"/>
    <w:rsid w:val="00E8740B"/>
    <w:rsid w:val="00E912BB"/>
    <w:rsid w:val="00E918B5"/>
    <w:rsid w:val="00E91A59"/>
    <w:rsid w:val="00E93DF0"/>
    <w:rsid w:val="00E9505D"/>
    <w:rsid w:val="00E961F9"/>
    <w:rsid w:val="00E970DA"/>
    <w:rsid w:val="00EA0399"/>
    <w:rsid w:val="00EA0C4A"/>
    <w:rsid w:val="00EA1664"/>
    <w:rsid w:val="00EA171C"/>
    <w:rsid w:val="00EA3882"/>
    <w:rsid w:val="00EB39C8"/>
    <w:rsid w:val="00EB4BD7"/>
    <w:rsid w:val="00EB56C1"/>
    <w:rsid w:val="00EB614A"/>
    <w:rsid w:val="00EB7692"/>
    <w:rsid w:val="00EC0173"/>
    <w:rsid w:val="00EC1ACC"/>
    <w:rsid w:val="00EC26D2"/>
    <w:rsid w:val="00EC2E7D"/>
    <w:rsid w:val="00EC30F9"/>
    <w:rsid w:val="00EC3415"/>
    <w:rsid w:val="00EC3BFA"/>
    <w:rsid w:val="00EC411F"/>
    <w:rsid w:val="00EC4EDC"/>
    <w:rsid w:val="00EC5B08"/>
    <w:rsid w:val="00ED28DE"/>
    <w:rsid w:val="00ED3B84"/>
    <w:rsid w:val="00ED449A"/>
    <w:rsid w:val="00EE0B70"/>
    <w:rsid w:val="00EE27B3"/>
    <w:rsid w:val="00EE48D5"/>
    <w:rsid w:val="00EE5E71"/>
    <w:rsid w:val="00EE6F21"/>
    <w:rsid w:val="00EE74EE"/>
    <w:rsid w:val="00EE795C"/>
    <w:rsid w:val="00EF027D"/>
    <w:rsid w:val="00EF2EB2"/>
    <w:rsid w:val="00EF601F"/>
    <w:rsid w:val="00EF739E"/>
    <w:rsid w:val="00F009B7"/>
    <w:rsid w:val="00F020DA"/>
    <w:rsid w:val="00F02292"/>
    <w:rsid w:val="00F0290B"/>
    <w:rsid w:val="00F11944"/>
    <w:rsid w:val="00F11E53"/>
    <w:rsid w:val="00F13B50"/>
    <w:rsid w:val="00F14298"/>
    <w:rsid w:val="00F151BC"/>
    <w:rsid w:val="00F1749B"/>
    <w:rsid w:val="00F1782E"/>
    <w:rsid w:val="00F207F1"/>
    <w:rsid w:val="00F20FE3"/>
    <w:rsid w:val="00F21B2D"/>
    <w:rsid w:val="00F21E27"/>
    <w:rsid w:val="00F242D0"/>
    <w:rsid w:val="00F26E1B"/>
    <w:rsid w:val="00F31F56"/>
    <w:rsid w:val="00F338B6"/>
    <w:rsid w:val="00F33D25"/>
    <w:rsid w:val="00F33FAD"/>
    <w:rsid w:val="00F34CF5"/>
    <w:rsid w:val="00F369C7"/>
    <w:rsid w:val="00F36FFF"/>
    <w:rsid w:val="00F41937"/>
    <w:rsid w:val="00F4310E"/>
    <w:rsid w:val="00F4646E"/>
    <w:rsid w:val="00F464B3"/>
    <w:rsid w:val="00F46C43"/>
    <w:rsid w:val="00F47141"/>
    <w:rsid w:val="00F47A0D"/>
    <w:rsid w:val="00F52B30"/>
    <w:rsid w:val="00F557F7"/>
    <w:rsid w:val="00F5612F"/>
    <w:rsid w:val="00F60A9E"/>
    <w:rsid w:val="00F60DE9"/>
    <w:rsid w:val="00F60F90"/>
    <w:rsid w:val="00F62559"/>
    <w:rsid w:val="00F64798"/>
    <w:rsid w:val="00F6568C"/>
    <w:rsid w:val="00F70F43"/>
    <w:rsid w:val="00F70FA4"/>
    <w:rsid w:val="00F727B3"/>
    <w:rsid w:val="00F73626"/>
    <w:rsid w:val="00F8140C"/>
    <w:rsid w:val="00F83985"/>
    <w:rsid w:val="00F83C3C"/>
    <w:rsid w:val="00F871D0"/>
    <w:rsid w:val="00F87758"/>
    <w:rsid w:val="00F877CF"/>
    <w:rsid w:val="00F8781A"/>
    <w:rsid w:val="00F9027F"/>
    <w:rsid w:val="00F9794F"/>
    <w:rsid w:val="00FA00B8"/>
    <w:rsid w:val="00FA0579"/>
    <w:rsid w:val="00FA0899"/>
    <w:rsid w:val="00FA3072"/>
    <w:rsid w:val="00FA3F5E"/>
    <w:rsid w:val="00FA5F9B"/>
    <w:rsid w:val="00FA7615"/>
    <w:rsid w:val="00FA794D"/>
    <w:rsid w:val="00FB137D"/>
    <w:rsid w:val="00FB1922"/>
    <w:rsid w:val="00FC299C"/>
    <w:rsid w:val="00FC29F5"/>
    <w:rsid w:val="00FC33FE"/>
    <w:rsid w:val="00FC3C96"/>
    <w:rsid w:val="00FC4C60"/>
    <w:rsid w:val="00FC50FD"/>
    <w:rsid w:val="00FC6D61"/>
    <w:rsid w:val="00FD15D3"/>
    <w:rsid w:val="00FD3D80"/>
    <w:rsid w:val="00FD5084"/>
    <w:rsid w:val="00FD529F"/>
    <w:rsid w:val="00FE0600"/>
    <w:rsid w:val="00FE09E2"/>
    <w:rsid w:val="00FE0B91"/>
    <w:rsid w:val="00FE16D7"/>
    <w:rsid w:val="00FE1A8D"/>
    <w:rsid w:val="00FE462B"/>
    <w:rsid w:val="00FE4772"/>
    <w:rsid w:val="00FE5266"/>
    <w:rsid w:val="00FF0C54"/>
    <w:rsid w:val="00FF0C71"/>
    <w:rsid w:val="00FF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8E6A"/>
  <w15:chartTrackingRefBased/>
  <w15:docId w15:val="{11672BBE-5962-4D18-AA5A-7A0C84F8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FBA"/>
    <w:pPr>
      <w:spacing w:after="200"/>
      <w:jc w:val="left"/>
    </w:pPr>
    <w:rPr>
      <w:rFonts w:asciiTheme="minorHAnsi" w:hAnsiTheme="minorHAnsi" w:cstheme="minorBid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F0FBA"/>
    <w:pPr>
      <w:tabs>
        <w:tab w:val="center" w:pos="4320"/>
        <w:tab w:val="right" w:pos="8640"/>
      </w:tabs>
      <w:spacing w:after="0"/>
    </w:pPr>
  </w:style>
  <w:style w:type="character" w:customStyle="1" w:styleId="FooterChar">
    <w:name w:val="Footer Char"/>
    <w:basedOn w:val="DefaultParagraphFont"/>
    <w:link w:val="Footer"/>
    <w:uiPriority w:val="99"/>
    <w:semiHidden/>
    <w:rsid w:val="00CF0FBA"/>
    <w:rPr>
      <w:rFonts w:asciiTheme="minorHAnsi" w:hAnsiTheme="minorHAnsi" w:cstheme="minorBidi"/>
      <w:kern w:val="0"/>
      <w:sz w:val="24"/>
      <w:szCs w:val="24"/>
      <w14:ligatures w14:val="none"/>
    </w:rPr>
  </w:style>
  <w:style w:type="paragraph" w:styleId="ListParagraph">
    <w:name w:val="List Paragraph"/>
    <w:basedOn w:val="Normal"/>
    <w:uiPriority w:val="34"/>
    <w:qFormat/>
    <w:rsid w:val="00CF0FBA"/>
    <w:pPr>
      <w:spacing w:after="0"/>
      <w:ind w:left="720"/>
      <w:contextualSpacing/>
      <w:jc w:val="both"/>
    </w:pPr>
    <w:rPr>
      <w:rFonts w:ascii="Arial" w:hAnsi="Arial" w:cs="Arial"/>
      <w:sz w:val="22"/>
      <w:szCs w:val="22"/>
    </w:rPr>
  </w:style>
  <w:style w:type="character" w:styleId="Hyperlink">
    <w:name w:val="Hyperlink"/>
    <w:basedOn w:val="DefaultParagraphFont"/>
    <w:uiPriority w:val="99"/>
    <w:unhideWhenUsed/>
    <w:rsid w:val="00CF0FBA"/>
    <w:rPr>
      <w:color w:val="0000FF"/>
      <w:u w:val="single"/>
    </w:rPr>
  </w:style>
  <w:style w:type="paragraph" w:customStyle="1" w:styleId="Default">
    <w:name w:val="Default"/>
    <w:rsid w:val="00CF0FBA"/>
    <w:pPr>
      <w:autoSpaceDE w:val="0"/>
      <w:autoSpaceDN w:val="0"/>
      <w:adjustRightInd w:val="0"/>
      <w:jc w:val="left"/>
    </w:pPr>
    <w:rPr>
      <w:color w:val="000000"/>
      <w:kern w:val="0"/>
      <w:sz w:val="24"/>
      <w:szCs w:val="24"/>
      <w:lang w:val="el-GR"/>
      <w14:ligatures w14:val="none"/>
    </w:rPr>
  </w:style>
  <w:style w:type="paragraph" w:styleId="Revision">
    <w:name w:val="Revision"/>
    <w:hidden/>
    <w:uiPriority w:val="99"/>
    <w:semiHidden/>
    <w:rsid w:val="007C6C6B"/>
    <w:pPr>
      <w:jc w:val="left"/>
    </w:pPr>
    <w:rPr>
      <w:rFonts w:asciiTheme="minorHAnsi" w:hAnsiTheme="minorHAnsi" w:cstheme="minorBidi"/>
      <w:kern w:val="0"/>
      <w:sz w:val="24"/>
      <w:szCs w:val="24"/>
      <w14:ligatures w14:val="none"/>
    </w:rPr>
  </w:style>
  <w:style w:type="character" w:styleId="UnresolvedMention">
    <w:name w:val="Unresolved Mention"/>
    <w:basedOn w:val="DefaultParagraphFont"/>
    <w:uiPriority w:val="99"/>
    <w:semiHidden/>
    <w:unhideWhenUsed/>
    <w:rsid w:val="00002E25"/>
    <w:rPr>
      <w:color w:val="605E5C"/>
      <w:shd w:val="clear" w:color="auto" w:fill="E1DFDD"/>
    </w:rPr>
  </w:style>
  <w:style w:type="character" w:styleId="CommentReference">
    <w:name w:val="annotation reference"/>
    <w:basedOn w:val="DefaultParagraphFont"/>
    <w:uiPriority w:val="99"/>
    <w:semiHidden/>
    <w:unhideWhenUsed/>
    <w:rsid w:val="000F1EE5"/>
    <w:rPr>
      <w:sz w:val="16"/>
      <w:szCs w:val="16"/>
    </w:rPr>
  </w:style>
  <w:style w:type="paragraph" w:styleId="CommentText">
    <w:name w:val="annotation text"/>
    <w:basedOn w:val="Normal"/>
    <w:link w:val="CommentTextChar"/>
    <w:uiPriority w:val="99"/>
    <w:unhideWhenUsed/>
    <w:rsid w:val="000F1EE5"/>
    <w:rPr>
      <w:sz w:val="20"/>
      <w:szCs w:val="20"/>
    </w:rPr>
  </w:style>
  <w:style w:type="character" w:customStyle="1" w:styleId="CommentTextChar">
    <w:name w:val="Comment Text Char"/>
    <w:basedOn w:val="DefaultParagraphFont"/>
    <w:link w:val="CommentText"/>
    <w:uiPriority w:val="99"/>
    <w:rsid w:val="000F1EE5"/>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1EE5"/>
    <w:rPr>
      <w:b/>
      <w:bCs/>
    </w:rPr>
  </w:style>
  <w:style w:type="character" w:customStyle="1" w:styleId="CommentSubjectChar">
    <w:name w:val="Comment Subject Char"/>
    <w:basedOn w:val="CommentTextChar"/>
    <w:link w:val="CommentSubject"/>
    <w:uiPriority w:val="99"/>
    <w:semiHidden/>
    <w:rsid w:val="000F1EE5"/>
    <w:rPr>
      <w:rFonts w:asciiTheme="minorHAnsi" w:hAnsiTheme="minorHAnsi" w:cstheme="minorBidi"/>
      <w:b/>
      <w:bCs/>
      <w:kern w:val="0"/>
      <w:sz w:val="20"/>
      <w:szCs w:val="20"/>
      <w14:ligatures w14:val="none"/>
    </w:rPr>
  </w:style>
  <w:style w:type="table" w:styleId="TableGrid">
    <w:name w:val="Table Grid"/>
    <w:basedOn w:val="TableNormal"/>
    <w:uiPriority w:val="39"/>
    <w:rsid w:val="001D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27C7"/>
    <w:rPr>
      <w:rFonts w:ascii="Times New Roman" w:hAnsi="Times New Roman" w:cs="Times New Roman"/>
    </w:rPr>
  </w:style>
  <w:style w:type="paragraph" w:styleId="NoSpacing">
    <w:name w:val="No Spacing"/>
    <w:uiPriority w:val="1"/>
    <w:qFormat/>
    <w:rsid w:val="00F60F90"/>
    <w:pPr>
      <w:jc w:val="left"/>
    </w:pPr>
    <w:rPr>
      <w:rFonts w:asciiTheme="minorHAnsi" w:hAnsiTheme="minorHAnsi" w:cstheme="minorBidi"/>
      <w:kern w:val="0"/>
      <w:lang w:val="el-GR"/>
      <w14:ligatures w14:val="none"/>
    </w:rPr>
  </w:style>
  <w:style w:type="paragraph" w:styleId="FootnoteText">
    <w:name w:val="footnote text"/>
    <w:basedOn w:val="Normal"/>
    <w:link w:val="FootnoteTextChar"/>
    <w:uiPriority w:val="99"/>
    <w:semiHidden/>
    <w:unhideWhenUsed/>
    <w:rsid w:val="00D14A25"/>
    <w:pPr>
      <w:spacing w:after="0"/>
    </w:pPr>
    <w:rPr>
      <w:sz w:val="20"/>
      <w:szCs w:val="20"/>
    </w:rPr>
  </w:style>
  <w:style w:type="character" w:customStyle="1" w:styleId="FootnoteTextChar">
    <w:name w:val="Footnote Text Char"/>
    <w:basedOn w:val="DefaultParagraphFont"/>
    <w:link w:val="FootnoteText"/>
    <w:uiPriority w:val="99"/>
    <w:semiHidden/>
    <w:rsid w:val="00D14A25"/>
    <w:rPr>
      <w:rFonts w:asciiTheme="minorHAnsi" w:hAnsiTheme="minorHAnsi" w:cstheme="minorBidi"/>
      <w:kern w:val="0"/>
      <w:sz w:val="20"/>
      <w:szCs w:val="20"/>
      <w14:ligatures w14:val="none"/>
    </w:rPr>
  </w:style>
  <w:style w:type="character" w:styleId="FootnoteReference">
    <w:name w:val="footnote reference"/>
    <w:basedOn w:val="DefaultParagraphFont"/>
    <w:uiPriority w:val="99"/>
    <w:semiHidden/>
    <w:unhideWhenUsed/>
    <w:rsid w:val="00D14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33815">
      <w:bodyDiv w:val="1"/>
      <w:marLeft w:val="0"/>
      <w:marRight w:val="0"/>
      <w:marTop w:val="0"/>
      <w:marBottom w:val="0"/>
      <w:divBdr>
        <w:top w:val="none" w:sz="0" w:space="0" w:color="auto"/>
        <w:left w:val="none" w:sz="0" w:space="0" w:color="auto"/>
        <w:bottom w:val="none" w:sz="0" w:space="0" w:color="auto"/>
        <w:right w:val="none" w:sz="0" w:space="0" w:color="auto"/>
      </w:divBdr>
    </w:div>
    <w:div w:id="754322939">
      <w:bodyDiv w:val="1"/>
      <w:marLeft w:val="0"/>
      <w:marRight w:val="0"/>
      <w:marTop w:val="0"/>
      <w:marBottom w:val="0"/>
      <w:divBdr>
        <w:top w:val="none" w:sz="0" w:space="0" w:color="auto"/>
        <w:left w:val="none" w:sz="0" w:space="0" w:color="auto"/>
        <w:bottom w:val="none" w:sz="0" w:space="0" w:color="auto"/>
        <w:right w:val="none" w:sz="0" w:space="0" w:color="auto"/>
      </w:divBdr>
    </w:div>
    <w:div w:id="795220291">
      <w:bodyDiv w:val="1"/>
      <w:marLeft w:val="0"/>
      <w:marRight w:val="0"/>
      <w:marTop w:val="0"/>
      <w:marBottom w:val="0"/>
      <w:divBdr>
        <w:top w:val="none" w:sz="0" w:space="0" w:color="auto"/>
        <w:left w:val="none" w:sz="0" w:space="0" w:color="auto"/>
        <w:bottom w:val="none" w:sz="0" w:space="0" w:color="auto"/>
        <w:right w:val="none" w:sz="0" w:space="0" w:color="auto"/>
      </w:divBdr>
    </w:div>
    <w:div w:id="868762783">
      <w:bodyDiv w:val="1"/>
      <w:marLeft w:val="0"/>
      <w:marRight w:val="0"/>
      <w:marTop w:val="0"/>
      <w:marBottom w:val="0"/>
      <w:divBdr>
        <w:top w:val="none" w:sz="0" w:space="0" w:color="auto"/>
        <w:left w:val="none" w:sz="0" w:space="0" w:color="auto"/>
        <w:bottom w:val="none" w:sz="0" w:space="0" w:color="auto"/>
        <w:right w:val="none" w:sz="0" w:space="0" w:color="auto"/>
      </w:divBdr>
    </w:div>
    <w:div w:id="902325549">
      <w:bodyDiv w:val="1"/>
      <w:marLeft w:val="0"/>
      <w:marRight w:val="0"/>
      <w:marTop w:val="0"/>
      <w:marBottom w:val="0"/>
      <w:divBdr>
        <w:top w:val="none" w:sz="0" w:space="0" w:color="auto"/>
        <w:left w:val="none" w:sz="0" w:space="0" w:color="auto"/>
        <w:bottom w:val="none" w:sz="0" w:space="0" w:color="auto"/>
        <w:right w:val="none" w:sz="0" w:space="0" w:color="auto"/>
      </w:divBdr>
    </w:div>
    <w:div w:id="1017539993">
      <w:bodyDiv w:val="1"/>
      <w:marLeft w:val="0"/>
      <w:marRight w:val="0"/>
      <w:marTop w:val="0"/>
      <w:marBottom w:val="0"/>
      <w:divBdr>
        <w:top w:val="none" w:sz="0" w:space="0" w:color="auto"/>
        <w:left w:val="none" w:sz="0" w:space="0" w:color="auto"/>
        <w:bottom w:val="none" w:sz="0" w:space="0" w:color="auto"/>
        <w:right w:val="none" w:sz="0" w:space="0" w:color="auto"/>
      </w:divBdr>
    </w:div>
    <w:div w:id="1033193214">
      <w:bodyDiv w:val="1"/>
      <w:marLeft w:val="0"/>
      <w:marRight w:val="0"/>
      <w:marTop w:val="0"/>
      <w:marBottom w:val="0"/>
      <w:divBdr>
        <w:top w:val="none" w:sz="0" w:space="0" w:color="auto"/>
        <w:left w:val="none" w:sz="0" w:space="0" w:color="auto"/>
        <w:bottom w:val="none" w:sz="0" w:space="0" w:color="auto"/>
        <w:right w:val="none" w:sz="0" w:space="0" w:color="auto"/>
      </w:divBdr>
    </w:div>
    <w:div w:id="1077941494">
      <w:bodyDiv w:val="1"/>
      <w:marLeft w:val="0"/>
      <w:marRight w:val="0"/>
      <w:marTop w:val="0"/>
      <w:marBottom w:val="0"/>
      <w:divBdr>
        <w:top w:val="none" w:sz="0" w:space="0" w:color="auto"/>
        <w:left w:val="none" w:sz="0" w:space="0" w:color="auto"/>
        <w:bottom w:val="none" w:sz="0" w:space="0" w:color="auto"/>
        <w:right w:val="none" w:sz="0" w:space="0" w:color="auto"/>
      </w:divBdr>
    </w:div>
    <w:div w:id="1617515589">
      <w:bodyDiv w:val="1"/>
      <w:marLeft w:val="0"/>
      <w:marRight w:val="0"/>
      <w:marTop w:val="0"/>
      <w:marBottom w:val="0"/>
      <w:divBdr>
        <w:top w:val="none" w:sz="0" w:space="0" w:color="auto"/>
        <w:left w:val="none" w:sz="0" w:space="0" w:color="auto"/>
        <w:bottom w:val="none" w:sz="0" w:space="0" w:color="auto"/>
        <w:right w:val="none" w:sz="0" w:space="0" w:color="auto"/>
      </w:divBdr>
    </w:div>
    <w:div w:id="1878540318">
      <w:bodyDiv w:val="1"/>
      <w:marLeft w:val="0"/>
      <w:marRight w:val="0"/>
      <w:marTop w:val="0"/>
      <w:marBottom w:val="0"/>
      <w:divBdr>
        <w:top w:val="none" w:sz="0" w:space="0" w:color="auto"/>
        <w:left w:val="none" w:sz="0" w:space="0" w:color="auto"/>
        <w:bottom w:val="none" w:sz="0" w:space="0" w:color="auto"/>
        <w:right w:val="none" w:sz="0" w:space="0" w:color="auto"/>
      </w:divBdr>
    </w:div>
    <w:div w:id="20650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edipes.com.cy/&#945;&#960;&#959;&#964;&#949;&#955;&#949;&#963;&#956;&#945;&#964;&#945;-&#948;&#953;&#945;&#967;&#949;&#953;&#961;&#953;&#963;&#951;&#9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6040-8ED4-43F7-9EC8-7C308E03AABE}">
  <ds:schemaRefs>
    <ds:schemaRef ds:uri="http://schemas.openxmlformats.org/officeDocument/2006/bibliography"/>
  </ds:schemaRefs>
</ds:datastoreItem>
</file>

<file path=docMetadata/LabelInfo.xml><?xml version="1.0" encoding="utf-8"?>
<clbl:labelList xmlns:clbl="http://schemas.microsoft.com/office/2020/mipLabelMetadata">
  <clbl:label id="{768ddc00-e05b-46ae-a511-740c8ac950d1}" enabled="0" method="" siteId="{768ddc00-e05b-46ae-a511-740c8ac950d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8864</Characters>
  <Application>Microsoft Office Word</Application>
  <DocSecurity>0</DocSecurity>
  <Lines>206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 Papakyriakou</dc:creator>
  <cp:keywords/>
  <dc:description/>
  <cp:lastModifiedBy>Hara Papakyriakou</cp:lastModifiedBy>
  <cp:revision>5</cp:revision>
  <cp:lastPrinted>2026-02-02T10:22:00Z</cp:lastPrinted>
  <dcterms:created xsi:type="dcterms:W3CDTF">2026-02-02T09:25:00Z</dcterms:created>
  <dcterms:modified xsi:type="dcterms:W3CDTF">2026-02-02T10:22:00Z</dcterms:modified>
</cp:coreProperties>
</file>